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39B20" w14:textId="36370661" w:rsidR="005C4433" w:rsidRPr="005C4433" w:rsidRDefault="005C4433" w:rsidP="005C4433">
      <w:pPr>
        <w:pStyle w:val="Pardfaut"/>
        <w:spacing w:before="0"/>
        <w:jc w:val="center"/>
        <w:rPr>
          <w:rStyle w:val="Aucun"/>
          <w:rFonts w:ascii="Calibri" w:hAnsi="Calibri" w:cs="Calibri"/>
          <w:b/>
          <w:bCs/>
          <w:color w:val="auto"/>
          <w:sz w:val="28"/>
          <w:szCs w:val="28"/>
        </w:rPr>
      </w:pPr>
      <w:proofErr w:type="spellStart"/>
      <w:r w:rsidRPr="005C4433">
        <w:rPr>
          <w:rStyle w:val="Aucun"/>
          <w:rFonts w:ascii="Calibri" w:hAnsi="Calibri" w:cs="Calibri"/>
          <w:b/>
          <w:bCs/>
          <w:color w:val="auto"/>
          <w:sz w:val="28"/>
          <w:szCs w:val="28"/>
        </w:rPr>
        <w:t>Fellowship</w:t>
      </w:r>
      <w:proofErr w:type="spellEnd"/>
      <w:r w:rsidRPr="005C4433">
        <w:rPr>
          <w:rStyle w:val="Aucun"/>
          <w:rFonts w:ascii="Calibri" w:hAnsi="Calibri" w:cs="Calibri"/>
          <w:b/>
          <w:bCs/>
          <w:color w:val="auto"/>
          <w:sz w:val="28"/>
          <w:szCs w:val="28"/>
        </w:rPr>
        <w:t xml:space="preserve"> – Management &amp; Recherche</w:t>
      </w:r>
    </w:p>
    <w:p w14:paraId="30D41836" w14:textId="77777777" w:rsidR="00F25018" w:rsidRPr="005C4433" w:rsidRDefault="00F25018" w:rsidP="005C4433">
      <w:pPr>
        <w:pStyle w:val="Pardfaut"/>
        <w:spacing w:before="0"/>
        <w:rPr>
          <w:rStyle w:val="Aucun"/>
          <w:rFonts w:ascii="Calibri" w:hAnsi="Calibri" w:cs="Calibri"/>
          <w:color w:val="auto"/>
          <w:sz w:val="22"/>
          <w:szCs w:val="22"/>
        </w:rPr>
      </w:pPr>
    </w:p>
    <w:p w14:paraId="2F760B81" w14:textId="77777777" w:rsidR="005C4433" w:rsidRPr="005C4433" w:rsidRDefault="005C4433" w:rsidP="005C4433">
      <w:pPr>
        <w:pStyle w:val="Pardfaut"/>
        <w:spacing w:before="0"/>
        <w:rPr>
          <w:rStyle w:val="Aucun"/>
          <w:rFonts w:ascii="Calibri" w:hAnsi="Calibri" w:cs="Calibri"/>
          <w:b/>
          <w:bCs/>
          <w:color w:val="auto"/>
          <w:sz w:val="22"/>
          <w:szCs w:val="22"/>
          <w:u w:val="single"/>
        </w:rPr>
      </w:pPr>
    </w:p>
    <w:p w14:paraId="3A5C02C1" w14:textId="79E3B3CF" w:rsidR="005C4433" w:rsidRPr="005C4433" w:rsidRDefault="005C4433" w:rsidP="005C4433">
      <w:pPr>
        <w:pStyle w:val="Pardfaut"/>
        <w:spacing w:before="0"/>
        <w:rPr>
          <w:rStyle w:val="Aucun"/>
          <w:rFonts w:ascii="Calibri" w:hAnsi="Calibri" w:cs="Calibri"/>
          <w:color w:val="auto"/>
          <w:sz w:val="22"/>
          <w:szCs w:val="22"/>
        </w:rPr>
      </w:pPr>
      <w:r w:rsidRPr="005C4433">
        <w:rPr>
          <w:rStyle w:val="Aucun"/>
          <w:rFonts w:ascii="Calibri" w:hAnsi="Calibri" w:cs="Calibri"/>
          <w:b/>
          <w:bCs/>
          <w:color w:val="auto"/>
          <w:sz w:val="22"/>
          <w:szCs w:val="22"/>
          <w:u w:val="single"/>
        </w:rPr>
        <w:t>Deadline</w:t>
      </w:r>
      <w:r w:rsidRPr="005C4433">
        <w:rPr>
          <w:rStyle w:val="Aucun"/>
          <w:rFonts w:ascii="Calibri" w:hAnsi="Calibri" w:cs="Calibri"/>
          <w:color w:val="auto"/>
          <w:sz w:val="22"/>
          <w:szCs w:val="22"/>
        </w:rPr>
        <w:t xml:space="preserve"> : le 14 juillet 2024 </w:t>
      </w:r>
    </w:p>
    <w:p w14:paraId="07FCC8EA" w14:textId="77777777" w:rsidR="005C4433" w:rsidRPr="005C4433" w:rsidRDefault="005C4433" w:rsidP="005C4433">
      <w:pPr>
        <w:pStyle w:val="Pardfaut"/>
        <w:spacing w:before="0"/>
        <w:rPr>
          <w:rStyle w:val="Aucun"/>
          <w:rFonts w:ascii="Calibri" w:hAnsi="Calibri" w:cs="Calibri"/>
          <w:color w:val="auto"/>
          <w:sz w:val="22"/>
          <w:szCs w:val="22"/>
        </w:rPr>
      </w:pPr>
    </w:p>
    <w:p w14:paraId="774E27DA" w14:textId="35B8A88A" w:rsidR="005C4433" w:rsidRPr="005C4433" w:rsidRDefault="005C4433" w:rsidP="005C4433">
      <w:pPr>
        <w:pStyle w:val="Pardfaut"/>
        <w:spacing w:before="0"/>
        <w:rPr>
          <w:rStyle w:val="Aucun"/>
          <w:rFonts w:ascii="Calibri" w:hAnsi="Calibri" w:cs="Calibri"/>
          <w:color w:val="auto"/>
          <w:sz w:val="22"/>
          <w:szCs w:val="22"/>
          <w:u w:val="single"/>
        </w:rPr>
      </w:pPr>
      <w:r w:rsidRPr="005C4433">
        <w:rPr>
          <w:rStyle w:val="Aucun"/>
          <w:rFonts w:ascii="Calibri" w:hAnsi="Calibri" w:cs="Calibri"/>
          <w:b/>
          <w:bCs/>
          <w:color w:val="auto"/>
          <w:sz w:val="22"/>
          <w:szCs w:val="22"/>
          <w:u w:val="single"/>
        </w:rPr>
        <w:t>Exercice</w:t>
      </w:r>
      <w:r w:rsidRPr="005C4433">
        <w:rPr>
          <w:rStyle w:val="Aucun"/>
          <w:rFonts w:ascii="Calibri" w:hAnsi="Calibri" w:cs="Calibri"/>
          <w:color w:val="auto"/>
          <w:sz w:val="22"/>
          <w:szCs w:val="22"/>
          <w:u w:val="single"/>
        </w:rPr>
        <w:t> </w:t>
      </w:r>
    </w:p>
    <w:p w14:paraId="3E895963" w14:textId="77777777" w:rsidR="005C4433" w:rsidRPr="005C4433" w:rsidRDefault="005C4433" w:rsidP="005C4433">
      <w:pPr>
        <w:pStyle w:val="Pardfaut"/>
        <w:spacing w:before="0"/>
        <w:rPr>
          <w:rStyle w:val="Aucun"/>
          <w:rFonts w:ascii="Calibri" w:eastAsia="Times New Roman" w:hAnsi="Calibri" w:cs="Calibri"/>
          <w:color w:val="auto"/>
          <w:sz w:val="22"/>
          <w:szCs w:val="22"/>
        </w:rPr>
      </w:pPr>
    </w:p>
    <w:p w14:paraId="53B1A243" w14:textId="77777777" w:rsidR="00F25018" w:rsidRPr="005C4433" w:rsidRDefault="00000000" w:rsidP="005C4433">
      <w:pPr>
        <w:pStyle w:val="Pardfaut"/>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 xml:space="preserve">Les articles ont une longueur comprise entre 1 500 et 2 000 mots. Pour la présentation exacte, </w:t>
      </w:r>
      <w:proofErr w:type="spellStart"/>
      <w:r w:rsidRPr="005C4433">
        <w:rPr>
          <w:rStyle w:val="Aucun"/>
          <w:rFonts w:ascii="Calibri" w:hAnsi="Calibri" w:cs="Calibri"/>
          <w:color w:val="auto"/>
          <w:sz w:val="22"/>
          <w:szCs w:val="22"/>
        </w:rPr>
        <w:t>veuillez vous</w:t>
      </w:r>
      <w:proofErr w:type="spellEnd"/>
      <w:r w:rsidRPr="005C4433">
        <w:rPr>
          <w:rStyle w:val="Aucun"/>
          <w:rFonts w:ascii="Calibri" w:hAnsi="Calibri" w:cs="Calibri"/>
          <w:color w:val="auto"/>
          <w:sz w:val="22"/>
          <w:szCs w:val="22"/>
        </w:rPr>
        <w:t xml:space="preserve"> référer à un article publié sur notre site internet. </w:t>
      </w:r>
    </w:p>
    <w:p w14:paraId="60AACB97" w14:textId="77777777" w:rsidR="00F25018" w:rsidRPr="005C4433" w:rsidRDefault="00F25018" w:rsidP="005C4433">
      <w:pPr>
        <w:pStyle w:val="Pardfaut"/>
        <w:spacing w:before="0"/>
        <w:rPr>
          <w:rStyle w:val="Aucun"/>
          <w:rFonts w:ascii="Calibri" w:eastAsia="Times New Roman" w:hAnsi="Calibri" w:cs="Calibri"/>
          <w:color w:val="auto"/>
          <w:sz w:val="22"/>
          <w:szCs w:val="22"/>
        </w:rPr>
      </w:pPr>
    </w:p>
    <w:p w14:paraId="1351453D" w14:textId="76CFD82D" w:rsidR="00F25018" w:rsidRPr="005C4433" w:rsidRDefault="00000000" w:rsidP="005C4433">
      <w:pPr>
        <w:pStyle w:val="Pardfaut"/>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Des graphiques et des images peuvent être insérées dans le texte, n'oubliez pas de préciser leur source en dessous. Une présentation aérée et un style objectif sont à respecter. </w:t>
      </w:r>
    </w:p>
    <w:p w14:paraId="2FD9DF6C" w14:textId="77777777" w:rsidR="00F25018" w:rsidRPr="005C4433" w:rsidRDefault="00F25018" w:rsidP="005C4433">
      <w:pPr>
        <w:pStyle w:val="Pardfaut"/>
        <w:spacing w:before="0"/>
        <w:rPr>
          <w:rStyle w:val="Aucun"/>
          <w:rFonts w:ascii="Calibri" w:eastAsia="Times New Roman" w:hAnsi="Calibri" w:cs="Calibri"/>
          <w:color w:val="auto"/>
          <w:sz w:val="22"/>
          <w:szCs w:val="22"/>
        </w:rPr>
      </w:pPr>
    </w:p>
    <w:p w14:paraId="545CF6CB" w14:textId="77777777" w:rsidR="00F25018" w:rsidRPr="005C4433" w:rsidRDefault="00000000" w:rsidP="005C4433">
      <w:pPr>
        <w:pStyle w:val="Pardfaut"/>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L'article comprend les parties suivantes : </w:t>
      </w:r>
    </w:p>
    <w:p w14:paraId="72EF1200" w14:textId="77777777" w:rsidR="005C4433" w:rsidRPr="005C4433" w:rsidRDefault="00000000" w:rsidP="005C4433">
      <w:pPr>
        <w:pStyle w:val="Pardfaut"/>
        <w:numPr>
          <w:ilvl w:val="0"/>
          <w:numId w:val="3"/>
        </w:numPr>
        <w:spacing w:before="0"/>
        <w:rPr>
          <w:rStyle w:val="Aucun"/>
          <w:rFonts w:ascii="Calibri" w:hAnsi="Calibri" w:cs="Calibri"/>
          <w:color w:val="auto"/>
          <w:sz w:val="22"/>
          <w:szCs w:val="22"/>
        </w:rPr>
      </w:pPr>
      <w:r w:rsidRPr="005C4433">
        <w:rPr>
          <w:rStyle w:val="Aucun"/>
          <w:rFonts w:ascii="Calibri" w:hAnsi="Calibri" w:cs="Calibri"/>
          <w:color w:val="auto"/>
          <w:sz w:val="22"/>
          <w:szCs w:val="22"/>
        </w:rPr>
        <w:t>Le titre  </w:t>
      </w:r>
    </w:p>
    <w:p w14:paraId="376CCFEB" w14:textId="77777777" w:rsidR="005C4433" w:rsidRPr="005C4433" w:rsidRDefault="00000000" w:rsidP="005C4433">
      <w:pPr>
        <w:pStyle w:val="Pardfaut"/>
        <w:numPr>
          <w:ilvl w:val="0"/>
          <w:numId w:val="3"/>
        </w:numPr>
        <w:spacing w:before="0"/>
        <w:rPr>
          <w:rStyle w:val="Aucun"/>
          <w:rFonts w:ascii="Calibri" w:hAnsi="Calibri" w:cs="Calibri"/>
          <w:color w:val="auto"/>
          <w:sz w:val="22"/>
          <w:szCs w:val="22"/>
        </w:rPr>
      </w:pPr>
      <w:r w:rsidRPr="005C4433">
        <w:rPr>
          <w:rStyle w:val="Aucun"/>
          <w:rFonts w:ascii="Calibri" w:hAnsi="Calibri" w:cs="Calibri"/>
          <w:color w:val="auto"/>
          <w:sz w:val="22"/>
          <w:szCs w:val="22"/>
        </w:rPr>
        <w:t>L’introduction avec la présentation du sujet, la problématique et éventuellement les différentes parties de l’article qui répondent à la problématique posée </w:t>
      </w:r>
    </w:p>
    <w:p w14:paraId="3718BCD3" w14:textId="77777777" w:rsidR="005C4433" w:rsidRPr="005C4433" w:rsidRDefault="00000000" w:rsidP="005C4433">
      <w:pPr>
        <w:pStyle w:val="Pardfaut"/>
        <w:numPr>
          <w:ilvl w:val="0"/>
          <w:numId w:val="3"/>
        </w:numPr>
        <w:spacing w:before="0"/>
        <w:rPr>
          <w:rStyle w:val="Aucun"/>
          <w:rFonts w:ascii="Calibri" w:hAnsi="Calibri" w:cs="Calibri"/>
          <w:color w:val="auto"/>
          <w:sz w:val="22"/>
          <w:szCs w:val="22"/>
        </w:rPr>
      </w:pPr>
      <w:r w:rsidRPr="005C4433">
        <w:rPr>
          <w:rStyle w:val="Aucun"/>
          <w:rFonts w:ascii="Calibri" w:hAnsi="Calibri" w:cs="Calibri"/>
          <w:color w:val="auto"/>
          <w:sz w:val="22"/>
          <w:szCs w:val="22"/>
        </w:rPr>
        <w:t>Le texte est divisé en parties par des titres (pas de sous-parties, cf. nos articles sur notre site internet)  </w:t>
      </w:r>
    </w:p>
    <w:p w14:paraId="5659E693" w14:textId="77777777" w:rsidR="005C4433" w:rsidRPr="005C4433" w:rsidRDefault="00000000" w:rsidP="005C4433">
      <w:pPr>
        <w:pStyle w:val="Pardfaut"/>
        <w:numPr>
          <w:ilvl w:val="0"/>
          <w:numId w:val="3"/>
        </w:numPr>
        <w:spacing w:before="0"/>
        <w:rPr>
          <w:rStyle w:val="Aucun"/>
          <w:rFonts w:ascii="Calibri" w:hAnsi="Calibri" w:cs="Calibri"/>
          <w:color w:val="auto"/>
          <w:sz w:val="22"/>
          <w:szCs w:val="22"/>
        </w:rPr>
      </w:pPr>
      <w:r w:rsidRPr="005C4433">
        <w:rPr>
          <w:rStyle w:val="Aucun"/>
          <w:rFonts w:ascii="Calibri" w:hAnsi="Calibri" w:cs="Calibri"/>
          <w:color w:val="auto"/>
          <w:sz w:val="22"/>
          <w:szCs w:val="22"/>
        </w:rPr>
        <w:t>La conclusion doit être courte et non pas un résumé de l’écrit qui vient d’être lu </w:t>
      </w:r>
    </w:p>
    <w:p w14:paraId="02D5DD2B" w14:textId="5EAAB7CC" w:rsidR="00F25018" w:rsidRPr="005C4433" w:rsidRDefault="00000000" w:rsidP="005C4433">
      <w:pPr>
        <w:pStyle w:val="Pardfaut"/>
        <w:numPr>
          <w:ilvl w:val="0"/>
          <w:numId w:val="3"/>
        </w:numPr>
        <w:spacing w:before="0"/>
        <w:rPr>
          <w:rFonts w:ascii="Calibri" w:hAnsi="Calibri" w:cs="Calibri"/>
          <w:color w:val="auto"/>
          <w:sz w:val="22"/>
          <w:szCs w:val="22"/>
        </w:rPr>
      </w:pPr>
      <w:r w:rsidRPr="005C4433">
        <w:rPr>
          <w:rStyle w:val="Aucun"/>
          <w:rFonts w:ascii="Calibri" w:hAnsi="Calibri" w:cs="Calibri"/>
          <w:color w:val="auto"/>
          <w:sz w:val="22"/>
          <w:szCs w:val="22"/>
        </w:rPr>
        <w:t>La bibliographie énumérant toutes les sources utilisées doit suivre un ordre alphabétique et organisée selon la nature des sources. </w:t>
      </w:r>
      <w:r w:rsidRPr="005C4433">
        <w:rPr>
          <w:rStyle w:val="Aucun"/>
          <w:rFonts w:ascii="Calibri" w:hAnsi="Calibri" w:cs="Calibri"/>
          <w:color w:val="auto"/>
          <w:sz w:val="22"/>
          <w:szCs w:val="22"/>
        </w:rPr>
        <w:br/>
      </w:r>
    </w:p>
    <w:p w14:paraId="0E2C32A3" w14:textId="77777777" w:rsidR="005C4433" w:rsidRPr="005C4433" w:rsidRDefault="00000000" w:rsidP="005C4433">
      <w:pPr>
        <w:pStyle w:val="Pardfaut"/>
        <w:spacing w:before="0"/>
        <w:jc w:val="both"/>
        <w:rPr>
          <w:rStyle w:val="Aucun"/>
          <w:rFonts w:ascii="Calibri" w:hAnsi="Calibri" w:cs="Calibri"/>
          <w:b/>
          <w:bCs/>
          <w:color w:val="auto"/>
          <w:sz w:val="22"/>
          <w:szCs w:val="22"/>
        </w:rPr>
      </w:pPr>
      <w:r w:rsidRPr="005C4433">
        <w:rPr>
          <w:rStyle w:val="Aucun"/>
          <w:rFonts w:ascii="Calibri" w:hAnsi="Calibri" w:cs="Calibri"/>
          <w:b/>
          <w:bCs/>
          <w:color w:val="auto"/>
          <w:sz w:val="22"/>
          <w:szCs w:val="22"/>
        </w:rPr>
        <w:t xml:space="preserve">Voici quelques consignes pour le relecture de l’écrit : </w:t>
      </w:r>
    </w:p>
    <w:p w14:paraId="5332C6C1" w14:textId="77777777" w:rsidR="005C4433" w:rsidRPr="005C4433" w:rsidRDefault="005C4433" w:rsidP="005C4433">
      <w:pPr>
        <w:pStyle w:val="Pardfaut"/>
        <w:spacing w:before="0"/>
        <w:jc w:val="both"/>
        <w:rPr>
          <w:rStyle w:val="Aucun"/>
          <w:rFonts w:ascii="Calibri" w:eastAsia="Times New Roman" w:hAnsi="Calibri" w:cs="Calibri"/>
          <w:b/>
          <w:bCs/>
          <w:color w:val="auto"/>
          <w:sz w:val="22"/>
          <w:szCs w:val="22"/>
        </w:rPr>
      </w:pPr>
    </w:p>
    <w:p w14:paraId="68D93736" w14:textId="2165BE49" w:rsidR="005C4433" w:rsidRPr="005C4433" w:rsidRDefault="00000000" w:rsidP="005C4433">
      <w:pPr>
        <w:pStyle w:val="Pardfaut"/>
        <w:numPr>
          <w:ilvl w:val="0"/>
          <w:numId w:val="4"/>
        </w:numPr>
        <w:spacing w:before="0"/>
        <w:jc w:val="both"/>
        <w:rPr>
          <w:rStyle w:val="Aucun"/>
          <w:rFonts w:ascii="Calibri" w:eastAsia="Times New Roman" w:hAnsi="Calibri" w:cs="Calibri"/>
          <w:b/>
          <w:bCs/>
          <w:color w:val="auto"/>
          <w:sz w:val="22"/>
          <w:szCs w:val="22"/>
        </w:rPr>
      </w:pPr>
      <w:r w:rsidRPr="005C4433">
        <w:rPr>
          <w:rStyle w:val="Aucun"/>
          <w:rFonts w:ascii="Calibri" w:hAnsi="Calibri" w:cs="Calibri"/>
          <w:color w:val="auto"/>
          <w:sz w:val="22"/>
          <w:szCs w:val="22"/>
        </w:rPr>
        <w:t>Pas de plagiat, toutes les sources doivent être mentionnées dans la production, suivre les canons académiques pour les citations (cf. APA). Utiliser des sources académiques, un écrit dont les sources sont uniquement des articles de presse sera renvoyé à l'</w:t>
      </w:r>
      <w:proofErr w:type="spellStart"/>
      <w:r w:rsidRPr="005C4433">
        <w:rPr>
          <w:rStyle w:val="Aucun"/>
          <w:rFonts w:ascii="Calibri" w:hAnsi="Calibri" w:cs="Calibri"/>
          <w:color w:val="auto"/>
          <w:sz w:val="22"/>
          <w:szCs w:val="22"/>
        </w:rPr>
        <w:t>auteur·ice</w:t>
      </w:r>
      <w:proofErr w:type="spellEnd"/>
      <w:r w:rsidRPr="005C4433">
        <w:rPr>
          <w:rStyle w:val="Aucun"/>
          <w:rFonts w:ascii="Calibri" w:hAnsi="Calibri" w:cs="Calibri"/>
          <w:color w:val="auto"/>
          <w:sz w:val="22"/>
          <w:szCs w:val="22"/>
        </w:rPr>
        <w:t>, indiquer les sources des citations en note de bas de page.</w:t>
      </w:r>
    </w:p>
    <w:p w14:paraId="1829447A" w14:textId="77777777" w:rsidR="005C4433" w:rsidRPr="005C4433" w:rsidRDefault="00000000" w:rsidP="005C4433">
      <w:pPr>
        <w:pStyle w:val="Pardfaut"/>
        <w:numPr>
          <w:ilvl w:val="0"/>
          <w:numId w:val="4"/>
        </w:numPr>
        <w:spacing w:before="0"/>
        <w:jc w:val="both"/>
        <w:rPr>
          <w:rStyle w:val="Aucun"/>
          <w:rFonts w:ascii="Calibri" w:hAnsi="Calibri" w:cs="Calibri"/>
          <w:color w:val="auto"/>
          <w:sz w:val="22"/>
          <w:szCs w:val="22"/>
        </w:rPr>
      </w:pPr>
      <w:r w:rsidRPr="005C4433">
        <w:rPr>
          <w:rStyle w:val="Aucun"/>
          <w:rFonts w:ascii="Calibri" w:hAnsi="Calibri" w:cs="Calibri"/>
          <w:color w:val="auto"/>
          <w:sz w:val="22"/>
          <w:szCs w:val="22"/>
        </w:rPr>
        <w:t>Les citations doivent automatiquement faire l'objet d'une note de bas de page avec la source.</w:t>
      </w:r>
    </w:p>
    <w:p w14:paraId="4A616B3D" w14:textId="53FC7BE1" w:rsidR="005C4433" w:rsidRPr="005C4433" w:rsidRDefault="00000000" w:rsidP="005C4433">
      <w:pPr>
        <w:pStyle w:val="Pardfaut"/>
        <w:numPr>
          <w:ilvl w:val="0"/>
          <w:numId w:val="4"/>
        </w:numPr>
        <w:spacing w:before="0"/>
        <w:jc w:val="both"/>
        <w:rPr>
          <w:rStyle w:val="Aucun"/>
          <w:rFonts w:ascii="Calibri" w:hAnsi="Calibri" w:cs="Calibri"/>
          <w:color w:val="auto"/>
          <w:sz w:val="22"/>
          <w:szCs w:val="22"/>
        </w:rPr>
      </w:pPr>
      <w:r w:rsidRPr="005C4433">
        <w:rPr>
          <w:rStyle w:val="Aucun"/>
          <w:rFonts w:ascii="Calibri" w:hAnsi="Calibri" w:cs="Calibri"/>
          <w:color w:val="auto"/>
          <w:sz w:val="22"/>
          <w:szCs w:val="22"/>
        </w:rPr>
        <w:t>Présenter les citations comme suit : « [texte]numéro de note ».</w:t>
      </w:r>
    </w:p>
    <w:p w14:paraId="0727DF3E" w14:textId="5EEB6909" w:rsidR="005C4433"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Indiquer les sources sur lesquelles repose l'écrit dans une bibliographie.</w:t>
      </w:r>
    </w:p>
    <w:p w14:paraId="2E01A31D" w14:textId="47DE9B2A"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 xml:space="preserve">Emploi de l'écriture inclusive avec le point médian (ex : </w:t>
      </w:r>
      <w:proofErr w:type="spellStart"/>
      <w:r w:rsidRPr="005C4433">
        <w:rPr>
          <w:rStyle w:val="Aucun"/>
          <w:rFonts w:ascii="Calibri" w:hAnsi="Calibri" w:cs="Calibri"/>
          <w:color w:val="auto"/>
          <w:sz w:val="22"/>
          <w:szCs w:val="22"/>
        </w:rPr>
        <w:t>tou·tes</w:t>
      </w:r>
      <w:proofErr w:type="spellEnd"/>
      <w:r w:rsidRPr="005C4433">
        <w:rPr>
          <w:rStyle w:val="Aucun"/>
          <w:rFonts w:ascii="Calibri" w:hAnsi="Calibri" w:cs="Calibri"/>
          <w:color w:val="auto"/>
          <w:sz w:val="22"/>
          <w:szCs w:val="22"/>
        </w:rPr>
        <w:t xml:space="preserve">, </w:t>
      </w:r>
      <w:proofErr w:type="spellStart"/>
      <w:r w:rsidRPr="005C4433">
        <w:rPr>
          <w:rStyle w:val="Aucun"/>
          <w:rFonts w:ascii="Calibri" w:hAnsi="Calibri" w:cs="Calibri"/>
          <w:color w:val="auto"/>
          <w:sz w:val="22"/>
          <w:szCs w:val="22"/>
        </w:rPr>
        <w:t>président·es</w:t>
      </w:r>
      <w:proofErr w:type="spellEnd"/>
      <w:r w:rsidRPr="005C4433">
        <w:rPr>
          <w:rStyle w:val="Aucun"/>
          <w:rFonts w:ascii="Calibri" w:hAnsi="Calibri" w:cs="Calibri"/>
          <w:color w:val="auto"/>
          <w:sz w:val="22"/>
          <w:szCs w:val="22"/>
        </w:rPr>
        <w:t xml:space="preserve">). Une orthographe soignée. </w:t>
      </w:r>
    </w:p>
    <w:p w14:paraId="6A89ED83" w14:textId="3D3E81F1" w:rsidR="005C4433"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 xml:space="preserve">Garder un langage formel, pas de propos injurieux, sexistes, racistes, xénophobes, etc. </w:t>
      </w:r>
    </w:p>
    <w:p w14:paraId="63579BD5" w14:textId="3F7CA9E2" w:rsidR="005C4433"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 xml:space="preserve">Rester fidèle aux valeurs de l'IGG : intégrité, ouverture d'esprit, inclusivité. </w:t>
      </w:r>
    </w:p>
    <w:p w14:paraId="3104CC2F" w14:textId="4D8EC64A"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Ne pas hésiter à demander à l’</w:t>
      </w:r>
      <w:proofErr w:type="spellStart"/>
      <w:r w:rsidRPr="005C4433">
        <w:rPr>
          <w:rStyle w:val="Aucun"/>
          <w:rFonts w:ascii="Calibri" w:hAnsi="Calibri" w:cs="Calibri"/>
          <w:color w:val="auto"/>
          <w:sz w:val="22"/>
          <w:szCs w:val="22"/>
        </w:rPr>
        <w:t>auteur</w:t>
      </w:r>
      <w:r w:rsidRPr="005C4433">
        <w:rPr>
          <w:rStyle w:val="Aucun"/>
          <w:rFonts w:ascii="Cambria Math" w:hAnsi="Cambria Math" w:cs="Cambria Math"/>
          <w:color w:val="auto"/>
          <w:sz w:val="22"/>
          <w:szCs w:val="22"/>
        </w:rPr>
        <w:t>⋅</w:t>
      </w:r>
      <w:r w:rsidRPr="005C4433">
        <w:rPr>
          <w:rStyle w:val="Aucun"/>
          <w:rFonts w:ascii="Calibri" w:hAnsi="Calibri" w:cs="Calibri"/>
          <w:color w:val="auto"/>
          <w:sz w:val="22"/>
          <w:szCs w:val="22"/>
        </w:rPr>
        <w:t>ice</w:t>
      </w:r>
      <w:proofErr w:type="spellEnd"/>
      <w:r w:rsidRPr="005C4433">
        <w:rPr>
          <w:rStyle w:val="Aucun"/>
          <w:rFonts w:ascii="Calibri" w:hAnsi="Calibri" w:cs="Calibri"/>
          <w:color w:val="auto"/>
          <w:sz w:val="22"/>
          <w:szCs w:val="22"/>
        </w:rPr>
        <w:t xml:space="preserve"> d’éclaircir et d’approfondir certaines parties si vous considérez qu’il manque des éléments à la bonne compréhension de son écrit.</w:t>
      </w:r>
    </w:p>
    <w:p w14:paraId="2019F647" w14:textId="390E493C"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Ne pas hésiter à relever les incohérences.</w:t>
      </w:r>
    </w:p>
    <w:p w14:paraId="1F09B50C" w14:textId="1DF2A0B3"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Bien garder en tête le format de l’écrit lors du processus de relecture et de correction. Les rapports et les articles doivent insister sur l’analyse et proposer un vrai travail de réflexion, tandis qu’une fiche technique doit être synthétique.</w:t>
      </w:r>
    </w:p>
    <w:p w14:paraId="52734A20" w14:textId="545948F4"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 xml:space="preserve">Adopter une démarche de questionnement en lisant afin que l’écrit proposé à nos </w:t>
      </w:r>
      <w:proofErr w:type="spellStart"/>
      <w:r w:rsidRPr="005C4433">
        <w:rPr>
          <w:rStyle w:val="Aucun"/>
          <w:rFonts w:ascii="Calibri" w:hAnsi="Calibri" w:cs="Calibri"/>
          <w:color w:val="auto"/>
          <w:sz w:val="22"/>
          <w:szCs w:val="22"/>
        </w:rPr>
        <w:t>lecteur·ices</w:t>
      </w:r>
      <w:proofErr w:type="spellEnd"/>
      <w:r w:rsidRPr="005C4433">
        <w:rPr>
          <w:rStyle w:val="Aucun"/>
          <w:rFonts w:ascii="Calibri" w:hAnsi="Calibri" w:cs="Calibri"/>
          <w:color w:val="auto"/>
          <w:sz w:val="22"/>
          <w:szCs w:val="22"/>
        </w:rPr>
        <w:t xml:space="preserve"> soit le plus complet et clair possible. Sentez</w:t>
      </w:r>
      <w:r w:rsidR="005C4433" w:rsidRPr="005C4433">
        <w:rPr>
          <w:rStyle w:val="Aucun"/>
          <w:rFonts w:ascii="Calibri" w:hAnsi="Calibri" w:cs="Calibri"/>
          <w:color w:val="auto"/>
          <w:sz w:val="22"/>
          <w:szCs w:val="22"/>
        </w:rPr>
        <w:t>-</w:t>
      </w:r>
      <w:r w:rsidRPr="005C4433">
        <w:rPr>
          <w:rStyle w:val="Aucun"/>
          <w:rFonts w:ascii="Calibri" w:hAnsi="Calibri" w:cs="Calibri"/>
          <w:color w:val="auto"/>
          <w:sz w:val="22"/>
          <w:szCs w:val="22"/>
        </w:rPr>
        <w:t>vous libres de faire des remarques, constructives sur l’analyse et la réflexion de l’</w:t>
      </w:r>
      <w:proofErr w:type="spellStart"/>
      <w:r w:rsidRPr="005C4433">
        <w:rPr>
          <w:rStyle w:val="Aucun"/>
          <w:rFonts w:ascii="Calibri" w:hAnsi="Calibri" w:cs="Calibri"/>
          <w:color w:val="auto"/>
          <w:sz w:val="22"/>
          <w:szCs w:val="22"/>
        </w:rPr>
        <w:t>auteur·rice</w:t>
      </w:r>
      <w:proofErr w:type="spellEnd"/>
      <w:r w:rsidRPr="005C4433">
        <w:rPr>
          <w:rStyle w:val="Aucun"/>
          <w:rFonts w:ascii="Calibri" w:hAnsi="Calibri" w:cs="Calibri"/>
          <w:color w:val="auto"/>
          <w:sz w:val="22"/>
          <w:szCs w:val="22"/>
        </w:rPr>
        <w:t xml:space="preserve"> ;  </w:t>
      </w:r>
    </w:p>
    <w:p w14:paraId="2BEF9361" w14:textId="5565C086" w:rsidR="00F25018" w:rsidRPr="005C4433" w:rsidRDefault="00000000" w:rsidP="005C4433">
      <w:pPr>
        <w:pStyle w:val="Pardfaut"/>
        <w:numPr>
          <w:ilvl w:val="0"/>
          <w:numId w:val="4"/>
        </w:numPr>
        <w:spacing w:before="0"/>
        <w:jc w:val="both"/>
        <w:rPr>
          <w:rStyle w:val="Aucun"/>
          <w:rFonts w:ascii="Calibri" w:eastAsia="Times New Roman" w:hAnsi="Calibri" w:cs="Calibri"/>
          <w:color w:val="auto"/>
          <w:sz w:val="22"/>
          <w:szCs w:val="22"/>
        </w:rPr>
      </w:pPr>
      <w:r w:rsidRPr="005C4433">
        <w:rPr>
          <w:rStyle w:val="Aucun"/>
          <w:rFonts w:ascii="Calibri" w:hAnsi="Calibri" w:cs="Calibri"/>
          <w:color w:val="auto"/>
          <w:sz w:val="22"/>
          <w:szCs w:val="22"/>
        </w:rPr>
        <w:t>Toutes les indications et remarques devront être insérées dans le document grâce à  l’option “Commentaire”. Concernant les fautes d’orthographe, corrigez les directement dans le texte pour gagner du temps (si vous avez un doute, vérifiez avant de faire un changement).</w:t>
      </w:r>
    </w:p>
    <w:p w14:paraId="20F5BD57" w14:textId="77777777" w:rsidR="00F25018" w:rsidRPr="005C4433" w:rsidRDefault="00F25018">
      <w:pPr>
        <w:pStyle w:val="CorpsA"/>
        <w:spacing w:line="240" w:lineRule="auto"/>
        <w:jc w:val="center"/>
        <w:rPr>
          <w:rStyle w:val="Aucun"/>
          <w:rFonts w:ascii="Times New Roman" w:eastAsia="Times New Roman" w:hAnsi="Times New Roman" w:cs="Times New Roman"/>
          <w:color w:val="auto"/>
        </w:rPr>
      </w:pPr>
    </w:p>
    <w:p w14:paraId="298FEEDD" w14:textId="77777777" w:rsidR="005C4433" w:rsidRPr="005C4433" w:rsidRDefault="005C4433">
      <w:pPr>
        <w:pStyle w:val="CorpsA"/>
        <w:spacing w:line="240" w:lineRule="auto"/>
        <w:jc w:val="center"/>
        <w:rPr>
          <w:rStyle w:val="Aucun"/>
          <w:rFonts w:ascii="Times New Roman" w:eastAsia="Times New Roman" w:hAnsi="Times New Roman" w:cs="Times New Roman"/>
          <w:color w:val="auto"/>
        </w:rPr>
      </w:pPr>
    </w:p>
    <w:p w14:paraId="29D4801B" w14:textId="58435E61" w:rsidR="005C4433" w:rsidRPr="005C4433" w:rsidRDefault="005C4433" w:rsidP="005C4433">
      <w:pPr>
        <w:rPr>
          <w:rStyle w:val="Aucun"/>
          <w:rFonts w:eastAsia="Times New Roman"/>
        </w:rPr>
      </w:pPr>
      <w:r w:rsidRPr="005C4433">
        <w:rPr>
          <w:rStyle w:val="Aucun"/>
          <w:rFonts w:eastAsia="Times New Roman"/>
        </w:rPr>
        <w:br w:type="page"/>
      </w:r>
    </w:p>
    <w:p w14:paraId="0E6D88ED" w14:textId="77777777" w:rsidR="00F25018" w:rsidRPr="005C4433" w:rsidRDefault="00000000">
      <w:pPr>
        <w:pStyle w:val="CorpsA"/>
        <w:spacing w:line="240" w:lineRule="auto"/>
        <w:jc w:val="center"/>
        <w:rPr>
          <w:rStyle w:val="Aucun"/>
          <w:rFonts w:ascii="Times New Roman" w:eastAsia="Times New Roman" w:hAnsi="Times New Roman" w:cs="Times New Roman"/>
          <w:color w:val="auto"/>
          <w:sz w:val="24"/>
          <w:szCs w:val="24"/>
          <w:u w:color="1D1D1B"/>
        </w:rPr>
      </w:pPr>
      <w:r w:rsidRPr="005C4433">
        <w:rPr>
          <w:rStyle w:val="Aucun"/>
          <w:rFonts w:ascii="Times New Roman" w:hAnsi="Times New Roman"/>
          <w:b/>
          <w:bCs/>
          <w:color w:val="auto"/>
          <w:sz w:val="26"/>
          <w:szCs w:val="26"/>
          <w:u w:color="1D1D1B"/>
        </w:rPr>
        <w:lastRenderedPageBreak/>
        <w:t>Sujet</w:t>
      </w:r>
      <w:r w:rsidRPr="005C4433">
        <w:rPr>
          <w:rStyle w:val="Aucun"/>
          <w:rFonts w:ascii="Times New Roman" w:hAnsi="Times New Roman"/>
          <w:b/>
          <w:bCs/>
          <w:i/>
          <w:iCs/>
          <w:color w:val="auto"/>
          <w:sz w:val="26"/>
          <w:szCs w:val="26"/>
          <w:u w:color="1D1D1B"/>
        </w:rPr>
        <w:t> </w:t>
      </w:r>
      <w:r w:rsidRPr="005C4433">
        <w:rPr>
          <w:rStyle w:val="Aucun"/>
          <w:rFonts w:ascii="Times New Roman" w:hAnsi="Times New Roman"/>
          <w:b/>
          <w:bCs/>
          <w:color w:val="auto"/>
          <w:sz w:val="26"/>
          <w:szCs w:val="26"/>
          <w:u w:color="1D1D1B"/>
        </w:rPr>
        <w:t xml:space="preserve">: </w:t>
      </w:r>
      <w:r w:rsidRPr="005C4433">
        <w:rPr>
          <w:rStyle w:val="Aucun"/>
          <w:rFonts w:ascii="Times New Roman" w:hAnsi="Times New Roman"/>
          <w:b/>
          <w:bCs/>
          <w:color w:val="auto"/>
          <w:sz w:val="24"/>
          <w:szCs w:val="24"/>
        </w:rPr>
        <w:t xml:space="preserve">Les viols dans le conflit armé sécessionniste anglophone au Cameroun : une arme de terreur </w:t>
      </w:r>
    </w:p>
    <w:p w14:paraId="1B2AA92B" w14:textId="77777777" w:rsidR="00F25018" w:rsidRDefault="00F25018">
      <w:pPr>
        <w:pStyle w:val="CorpsA"/>
        <w:spacing w:after="160" w:line="360" w:lineRule="auto"/>
        <w:jc w:val="center"/>
        <w:rPr>
          <w:rStyle w:val="Aucun"/>
          <w:rFonts w:ascii="Times New Roman" w:eastAsia="Times New Roman" w:hAnsi="Times New Roman" w:cs="Times New Roman"/>
          <w:b/>
          <w:bCs/>
          <w:sz w:val="24"/>
          <w:szCs w:val="24"/>
          <w:u w:val="single"/>
        </w:rPr>
      </w:pPr>
    </w:p>
    <w:p w14:paraId="4EA88B85" w14:textId="77777777" w:rsidR="00F25018" w:rsidRDefault="00000000">
      <w:pPr>
        <w:pStyle w:val="CorpsA"/>
        <w:spacing w:after="160" w:line="360" w:lineRule="auto"/>
        <w:ind w:firstLine="720"/>
        <w:jc w:val="both"/>
        <w:rPr>
          <w:rStyle w:val="Aucun"/>
          <w:rFonts w:ascii="Times New Roman" w:eastAsia="Times New Roman" w:hAnsi="Times New Roman" w:cs="Times New Roman"/>
          <w:b/>
          <w:bCs/>
          <w:i/>
          <w:iCs/>
          <w:sz w:val="24"/>
          <w:szCs w:val="24"/>
        </w:rPr>
      </w:pPr>
      <w:r>
        <w:rPr>
          <w:rStyle w:val="Aucun"/>
          <w:rFonts w:ascii="Libre Baskerville" w:eastAsia="Libre Baskerville" w:hAnsi="Libre Baskerville" w:cs="Libre Baskerville"/>
          <w:sz w:val="28"/>
          <w:szCs w:val="28"/>
        </w:rPr>
        <w:t xml:space="preserve"> </w:t>
      </w:r>
      <w:r>
        <w:rPr>
          <w:rStyle w:val="Aucun"/>
          <w:rFonts w:ascii="Times New Roman" w:hAnsi="Times New Roman"/>
          <w:sz w:val="24"/>
          <w:szCs w:val="24"/>
        </w:rPr>
        <w:t>La crise sociopolitique qui sévit dans les régions du Sud-Ouest et Nord-Ouest du Cameroun depuis 2016, a muté en conflit armé sécessionniste en 2017, et a</w:t>
      </w:r>
      <w:r>
        <w:rPr>
          <w:rStyle w:val="Aucun"/>
          <w:rFonts w:ascii="Times New Roman" w:hAnsi="Times New Roman"/>
          <w:sz w:val="28"/>
          <w:szCs w:val="28"/>
        </w:rPr>
        <w:t xml:space="preserve"> </w:t>
      </w:r>
      <w:r>
        <w:rPr>
          <w:rStyle w:val="Aucun"/>
          <w:rFonts w:ascii="Times New Roman" w:hAnsi="Times New Roman"/>
          <w:sz w:val="24"/>
          <w:szCs w:val="24"/>
        </w:rPr>
        <w:t>donné lieu à une violence de guerre extrême se manifestant sous plusieurs formes à l’instar des viols et des violences sexuelles et genrées (VSG). Ces viols s’adressent principalement aux femmes et filles, déjà socialement, culturellement et économiquement vulné</w:t>
      </w:r>
      <w:r w:rsidRPr="005C4433">
        <w:rPr>
          <w:rStyle w:val="Aucun"/>
          <w:rFonts w:ascii="Times New Roman" w:hAnsi="Times New Roman"/>
          <w:sz w:val="24"/>
          <w:szCs w:val="24"/>
        </w:rPr>
        <w:t xml:space="preserve">rables. </w:t>
      </w:r>
      <w:r>
        <w:rPr>
          <w:rStyle w:val="Aucun"/>
          <w:rFonts w:ascii="Times New Roman" w:hAnsi="Times New Roman"/>
          <w:sz w:val="24"/>
          <w:szCs w:val="24"/>
        </w:rPr>
        <w:t>À titre d’illustration, l’ONU a enregistré 4 300 cas de VSG dans ces deux Régions entre février et dé</w:t>
      </w:r>
      <w:r w:rsidRPr="005C4433">
        <w:rPr>
          <w:rStyle w:val="Aucun"/>
          <w:rFonts w:ascii="Times New Roman" w:hAnsi="Times New Roman"/>
          <w:sz w:val="24"/>
          <w:szCs w:val="24"/>
        </w:rPr>
        <w:t>cembre 2020. Pr</w:t>
      </w:r>
      <w:r>
        <w:rPr>
          <w:rStyle w:val="Aucun"/>
          <w:rFonts w:ascii="Times New Roman" w:hAnsi="Times New Roman"/>
          <w:sz w:val="24"/>
          <w:szCs w:val="24"/>
        </w:rPr>
        <w:t>ès de la moitié de ces actes concernaient des viols ou des agressions sexuelles, 30% des victimes étant des enfants</w:t>
      </w:r>
      <w:r>
        <w:rPr>
          <w:rStyle w:val="Aucun"/>
          <w:rFonts w:ascii="Times New Roman" w:eastAsia="Times New Roman" w:hAnsi="Times New Roman" w:cs="Times New Roman"/>
          <w:sz w:val="24"/>
          <w:szCs w:val="24"/>
          <w:vertAlign w:val="superscript"/>
        </w:rPr>
        <w:footnoteReference w:id="2"/>
      </w:r>
      <w:r>
        <w:rPr>
          <w:rStyle w:val="Aucun"/>
          <w:rFonts w:ascii="Times New Roman" w:hAnsi="Times New Roman"/>
          <w:sz w:val="24"/>
          <w:szCs w:val="24"/>
        </w:rPr>
        <w:t xml:space="preserve">. </w:t>
      </w:r>
      <w:proofErr w:type="spellStart"/>
      <w:r>
        <w:rPr>
          <w:rStyle w:val="Aucun"/>
          <w:rFonts w:ascii="Times New Roman" w:hAnsi="Times New Roman"/>
          <w:sz w:val="24"/>
          <w:szCs w:val="24"/>
        </w:rPr>
        <w:t>Dé</w:t>
      </w:r>
      <w:r w:rsidRPr="005C4433">
        <w:rPr>
          <w:rStyle w:val="Aucun"/>
          <w:rFonts w:ascii="Times New Roman" w:hAnsi="Times New Roman"/>
          <w:sz w:val="24"/>
          <w:szCs w:val="24"/>
        </w:rPr>
        <w:t>ja</w:t>
      </w:r>
      <w:proofErr w:type="spellEnd"/>
      <w:r w:rsidRPr="005C4433">
        <w:rPr>
          <w:rStyle w:val="Aucun"/>
          <w:rFonts w:ascii="Times New Roman" w:hAnsi="Times New Roman"/>
          <w:sz w:val="24"/>
          <w:szCs w:val="24"/>
        </w:rPr>
        <w:t xml:space="preserve"> en 2019, l</w:t>
      </w:r>
      <w:r>
        <w:rPr>
          <w:rStyle w:val="Aucun"/>
          <w:rFonts w:ascii="Times New Roman" w:hAnsi="Times New Roman"/>
          <w:sz w:val="24"/>
          <w:szCs w:val="24"/>
        </w:rPr>
        <w:t>’ONU avait enregistré 1 065 cas de VSG ces régions en conflit, dont environ un tiers étaient des viols ou des agressions sexuelles</w:t>
      </w:r>
      <w:r>
        <w:rPr>
          <w:rStyle w:val="Aucun"/>
          <w:rFonts w:ascii="Times New Roman" w:eastAsia="Times New Roman" w:hAnsi="Times New Roman" w:cs="Times New Roman"/>
          <w:sz w:val="24"/>
          <w:szCs w:val="24"/>
          <w:vertAlign w:val="superscript"/>
        </w:rPr>
        <w:footnoteReference w:id="3"/>
      </w:r>
      <w:r>
        <w:rPr>
          <w:rStyle w:val="Aucun"/>
          <w:rFonts w:ascii="Times New Roman" w:hAnsi="Times New Roman"/>
          <w:sz w:val="24"/>
          <w:szCs w:val="24"/>
        </w:rPr>
        <w:t xml:space="preserve">. Les principaux perpétrateurs de ces viols sont les groupes non-étatiques séparatistes et les membres de Forces de Défense et de Sécurité camerounaises (FDS). Le </w:t>
      </w:r>
      <w:proofErr w:type="spellStart"/>
      <w:r>
        <w:rPr>
          <w:rStyle w:val="Aucun"/>
          <w:rFonts w:ascii="Times New Roman" w:hAnsi="Times New Roman"/>
          <w:sz w:val="24"/>
          <w:szCs w:val="24"/>
        </w:rPr>
        <w:t>present</w:t>
      </w:r>
      <w:proofErr w:type="spellEnd"/>
      <w:r>
        <w:rPr>
          <w:rStyle w:val="Aucun"/>
          <w:rFonts w:ascii="Times New Roman" w:hAnsi="Times New Roman"/>
          <w:sz w:val="24"/>
          <w:szCs w:val="24"/>
        </w:rPr>
        <w:t xml:space="preserve"> texte se propose pour objectif de déterminer les motifs de ces viols de guerre. Les résultats montrent que,</w:t>
      </w:r>
      <w:r>
        <w:rPr>
          <w:rStyle w:val="Aucun"/>
          <w:rFonts w:ascii="Calibri" w:hAnsi="Calibri"/>
        </w:rPr>
        <w:t xml:space="preserve"> </w:t>
      </w:r>
      <w:r>
        <w:rPr>
          <w:rStyle w:val="Aucun"/>
          <w:rFonts w:ascii="Times New Roman" w:hAnsi="Times New Roman"/>
          <w:sz w:val="24"/>
          <w:szCs w:val="24"/>
        </w:rPr>
        <w:t xml:space="preserve">ces crimes sexuels répondent dans leur majorité à des objectifs précis, ils sont pensés et organisés par les différents </w:t>
      </w:r>
      <w:proofErr w:type="spellStart"/>
      <w:r>
        <w:rPr>
          <w:rStyle w:val="Aucun"/>
          <w:rFonts w:ascii="Times New Roman" w:hAnsi="Times New Roman"/>
          <w:sz w:val="24"/>
          <w:szCs w:val="24"/>
        </w:rPr>
        <w:t>belligerents</w:t>
      </w:r>
      <w:proofErr w:type="spellEnd"/>
      <w:r>
        <w:rPr>
          <w:rStyle w:val="Aucun"/>
          <w:rFonts w:ascii="Times New Roman" w:hAnsi="Times New Roman"/>
          <w:sz w:val="24"/>
          <w:szCs w:val="24"/>
        </w:rPr>
        <w:t xml:space="preserve"> en conflit, comme une stratégie de terreur contre les populations civiles</w:t>
      </w:r>
      <w:r>
        <w:rPr>
          <w:rStyle w:val="Aucun"/>
          <w:rFonts w:ascii="Times New Roman" w:eastAsia="Times New Roman" w:hAnsi="Times New Roman" w:cs="Times New Roman"/>
          <w:sz w:val="24"/>
          <w:szCs w:val="24"/>
          <w:vertAlign w:val="superscript"/>
        </w:rPr>
        <w:footnoteReference w:id="4"/>
      </w:r>
      <w:r>
        <w:rPr>
          <w:rStyle w:val="Aucun"/>
          <w:rFonts w:ascii="Times New Roman" w:hAnsi="Times New Roman"/>
          <w:sz w:val="24"/>
          <w:szCs w:val="24"/>
        </w:rPr>
        <w:t xml:space="preserve">. </w:t>
      </w:r>
    </w:p>
    <w:p w14:paraId="32FD504C" w14:textId="77777777" w:rsidR="00F25018" w:rsidRDefault="00000000">
      <w:pPr>
        <w:pStyle w:val="CorpsA"/>
        <w:spacing w:line="360" w:lineRule="auto"/>
        <w:jc w:val="both"/>
        <w:rPr>
          <w:rStyle w:val="Aucun"/>
          <w:rFonts w:ascii="Times New Roman" w:eastAsia="Times New Roman" w:hAnsi="Times New Roman" w:cs="Times New Roman"/>
          <w:b/>
          <w:bCs/>
          <w:sz w:val="24"/>
          <w:szCs w:val="24"/>
        </w:rPr>
      </w:pPr>
      <w:r>
        <w:rPr>
          <w:rStyle w:val="Aucun"/>
          <w:rFonts w:ascii="Times New Roman" w:hAnsi="Times New Roman"/>
          <w:b/>
          <w:bCs/>
          <w:sz w:val="24"/>
          <w:szCs w:val="24"/>
        </w:rPr>
        <w:t xml:space="preserve">1-L’usage du viol comme instrument de terreur par les FDS </w:t>
      </w:r>
    </w:p>
    <w:p w14:paraId="3AFE4B6D" w14:textId="77777777" w:rsidR="00F25018" w:rsidRDefault="00000000">
      <w:pPr>
        <w:pStyle w:val="CorpsA"/>
        <w:spacing w:after="160" w:line="360" w:lineRule="auto"/>
        <w:ind w:firstLine="720"/>
        <w:jc w:val="both"/>
        <w:rPr>
          <w:rStyle w:val="Aucun"/>
          <w:rFonts w:ascii="Times New Roman" w:eastAsia="Times New Roman" w:hAnsi="Times New Roman" w:cs="Times New Roman"/>
          <w:sz w:val="24"/>
          <w:szCs w:val="24"/>
        </w:rPr>
      </w:pPr>
      <w:r>
        <w:rPr>
          <w:rStyle w:val="Aucun"/>
          <w:rFonts w:ascii="Times New Roman" w:hAnsi="Times New Roman"/>
          <w:sz w:val="24"/>
          <w:szCs w:val="24"/>
        </w:rPr>
        <w:t>Dans le camp des forces armées gouvernementales, plusieurs crimes de viols ont été commis à des fins de torture et de punition de certaines communauté</w:t>
      </w:r>
      <w:r w:rsidRPr="005C4433">
        <w:rPr>
          <w:rStyle w:val="Aucun"/>
          <w:rFonts w:ascii="Times New Roman" w:hAnsi="Times New Roman"/>
          <w:sz w:val="24"/>
          <w:szCs w:val="24"/>
        </w:rPr>
        <w:t>s anglophones accus</w:t>
      </w:r>
      <w:r>
        <w:rPr>
          <w:rStyle w:val="Aucun"/>
          <w:rFonts w:ascii="Times New Roman" w:hAnsi="Times New Roman"/>
          <w:sz w:val="24"/>
          <w:szCs w:val="24"/>
        </w:rPr>
        <w:t>ées de soutenir l’idé</w:t>
      </w:r>
      <w:r w:rsidRPr="005C4433">
        <w:rPr>
          <w:rStyle w:val="Aucun"/>
          <w:rFonts w:ascii="Times New Roman" w:hAnsi="Times New Roman"/>
          <w:sz w:val="24"/>
          <w:szCs w:val="24"/>
        </w:rPr>
        <w:t>ologie s</w:t>
      </w:r>
      <w:r>
        <w:rPr>
          <w:rStyle w:val="Aucun"/>
          <w:rFonts w:ascii="Times New Roman" w:hAnsi="Times New Roman"/>
          <w:sz w:val="24"/>
          <w:szCs w:val="24"/>
        </w:rPr>
        <w:t>écessionniste. Par exemple, le 1</w:t>
      </w:r>
      <w:r>
        <w:rPr>
          <w:rStyle w:val="Aucun"/>
          <w:rFonts w:ascii="Times New Roman" w:hAnsi="Times New Roman"/>
          <w:sz w:val="24"/>
          <w:szCs w:val="24"/>
          <w:vertAlign w:val="superscript"/>
        </w:rPr>
        <w:t>er</w:t>
      </w:r>
      <w:r>
        <w:rPr>
          <w:rStyle w:val="Aucun"/>
          <w:rFonts w:ascii="Times New Roman" w:hAnsi="Times New Roman"/>
          <w:sz w:val="24"/>
          <w:szCs w:val="24"/>
        </w:rPr>
        <w:t xml:space="preserve"> mars 2020, les </w:t>
      </w:r>
      <w:proofErr w:type="spellStart"/>
      <w:r>
        <w:rPr>
          <w:rStyle w:val="Aucun"/>
          <w:rFonts w:ascii="Times New Roman" w:hAnsi="Times New Roman"/>
          <w:sz w:val="24"/>
          <w:szCs w:val="24"/>
        </w:rPr>
        <w:t>soldat</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s</w:t>
      </w:r>
      <w:proofErr w:type="spellEnd"/>
      <w:r>
        <w:rPr>
          <w:rStyle w:val="Aucun"/>
          <w:rFonts w:ascii="Times New Roman" w:hAnsi="Times New Roman"/>
          <w:sz w:val="24"/>
          <w:szCs w:val="24"/>
          <w:shd w:val="clear" w:color="auto" w:fill="FFFFFF"/>
        </w:rPr>
        <w:t xml:space="preserve"> de l’armée camerounaise</w:t>
      </w:r>
      <w:r>
        <w:rPr>
          <w:rStyle w:val="Aucun"/>
          <w:rFonts w:ascii="Times New Roman" w:hAnsi="Times New Roman"/>
          <w:sz w:val="24"/>
          <w:szCs w:val="24"/>
        </w:rPr>
        <w:t xml:space="preserve"> ont pris d’assaut le village d’</w:t>
      </w:r>
      <w:proofErr w:type="spellStart"/>
      <w:r w:rsidRPr="005C4433">
        <w:rPr>
          <w:rStyle w:val="Aucun"/>
          <w:rFonts w:ascii="Times New Roman" w:hAnsi="Times New Roman"/>
          <w:sz w:val="24"/>
          <w:szCs w:val="24"/>
        </w:rPr>
        <w:t>Ebam</w:t>
      </w:r>
      <w:proofErr w:type="spellEnd"/>
      <w:r w:rsidRPr="005C4433">
        <w:rPr>
          <w:rStyle w:val="Aucun"/>
          <w:rFonts w:ascii="Times New Roman" w:hAnsi="Times New Roman"/>
          <w:sz w:val="24"/>
          <w:szCs w:val="24"/>
        </w:rPr>
        <w:t xml:space="preserve"> situ</w:t>
      </w:r>
      <w:r>
        <w:rPr>
          <w:rStyle w:val="Aucun"/>
          <w:rFonts w:ascii="Times New Roman" w:hAnsi="Times New Roman"/>
          <w:sz w:val="24"/>
          <w:szCs w:val="24"/>
        </w:rPr>
        <w:t xml:space="preserve">é dans le Département de la </w:t>
      </w:r>
      <w:proofErr w:type="spellStart"/>
      <w:r>
        <w:rPr>
          <w:rStyle w:val="Aucun"/>
          <w:rFonts w:ascii="Times New Roman" w:hAnsi="Times New Roman"/>
          <w:sz w:val="24"/>
          <w:szCs w:val="24"/>
        </w:rPr>
        <w:t>Manyu</w:t>
      </w:r>
      <w:proofErr w:type="spellEnd"/>
      <w:r>
        <w:rPr>
          <w:rStyle w:val="Aucun"/>
          <w:rFonts w:ascii="Times New Roman" w:hAnsi="Times New Roman"/>
          <w:sz w:val="24"/>
          <w:szCs w:val="24"/>
        </w:rPr>
        <w:t xml:space="preserve"> dans la Région du Sud-Ouest. Au cours de cette </w:t>
      </w:r>
      <w:proofErr w:type="spellStart"/>
      <w:r>
        <w:rPr>
          <w:rStyle w:val="Aucun"/>
          <w:rFonts w:ascii="Times New Roman" w:hAnsi="Times New Roman"/>
          <w:sz w:val="24"/>
          <w:szCs w:val="24"/>
        </w:rPr>
        <w:t>operation</w:t>
      </w:r>
      <w:proofErr w:type="spellEnd"/>
      <w:r>
        <w:rPr>
          <w:rStyle w:val="Aucun"/>
          <w:rFonts w:ascii="Times New Roman" w:hAnsi="Times New Roman"/>
          <w:sz w:val="24"/>
          <w:szCs w:val="24"/>
        </w:rPr>
        <w:t xml:space="preserve">, </w:t>
      </w:r>
      <w:proofErr w:type="spellStart"/>
      <w:r>
        <w:rPr>
          <w:rStyle w:val="Aucun"/>
          <w:rFonts w:ascii="Times New Roman" w:hAnsi="Times New Roman"/>
          <w:sz w:val="24"/>
          <w:szCs w:val="24"/>
        </w:rPr>
        <w:t>il</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lle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s</w:t>
      </w:r>
      <w:proofErr w:type="spellEnd"/>
      <w:r>
        <w:rPr>
          <w:rStyle w:val="Aucun"/>
          <w:rFonts w:ascii="Times New Roman" w:hAnsi="Times New Roman"/>
          <w:sz w:val="24"/>
          <w:szCs w:val="24"/>
        </w:rPr>
        <w:t xml:space="preserve"> ont rassemblé les membres de 75 ménages et ont violé systématiquement plus de vingt femmes</w:t>
      </w:r>
      <w:r>
        <w:rPr>
          <w:rStyle w:val="Aucun"/>
          <w:rFonts w:ascii="Times New Roman" w:eastAsia="Times New Roman" w:hAnsi="Times New Roman" w:cs="Times New Roman"/>
          <w:sz w:val="24"/>
          <w:szCs w:val="24"/>
          <w:vertAlign w:val="superscript"/>
        </w:rPr>
        <w:footnoteReference w:id="5"/>
      </w:r>
      <w:r w:rsidRPr="005C4433">
        <w:rPr>
          <w:rStyle w:val="Aucun"/>
          <w:rFonts w:ascii="Times New Roman" w:hAnsi="Times New Roman"/>
          <w:sz w:val="24"/>
          <w:szCs w:val="24"/>
        </w:rPr>
        <w:t xml:space="preserve">. Human </w:t>
      </w:r>
      <w:proofErr w:type="spellStart"/>
      <w:r w:rsidRPr="005C4433">
        <w:rPr>
          <w:rStyle w:val="Aucun"/>
          <w:rFonts w:ascii="Times New Roman" w:hAnsi="Times New Roman"/>
          <w:sz w:val="24"/>
          <w:szCs w:val="24"/>
        </w:rPr>
        <w:t>Rights</w:t>
      </w:r>
      <w:proofErr w:type="spellEnd"/>
      <w:r w:rsidRPr="005C4433">
        <w:rPr>
          <w:rStyle w:val="Aucun"/>
          <w:rFonts w:ascii="Times New Roman" w:hAnsi="Times New Roman"/>
          <w:sz w:val="24"/>
          <w:szCs w:val="24"/>
        </w:rPr>
        <w:t xml:space="preserve"> Watch a qualifi</w:t>
      </w:r>
      <w:r>
        <w:rPr>
          <w:rStyle w:val="Aucun"/>
          <w:rFonts w:ascii="Times New Roman" w:hAnsi="Times New Roman"/>
          <w:sz w:val="24"/>
          <w:szCs w:val="24"/>
        </w:rPr>
        <w:t xml:space="preserve">é </w:t>
      </w:r>
      <w:r>
        <w:rPr>
          <w:rStyle w:val="Aucun"/>
          <w:rFonts w:ascii="Times New Roman" w:hAnsi="Times New Roman"/>
          <w:i/>
          <w:iCs/>
          <w:sz w:val="24"/>
          <w:szCs w:val="24"/>
        </w:rPr>
        <w:t>« cette attaque contre le village d’</w:t>
      </w:r>
      <w:proofErr w:type="spellStart"/>
      <w:r>
        <w:rPr>
          <w:rStyle w:val="Aucun"/>
          <w:rFonts w:ascii="Times New Roman" w:hAnsi="Times New Roman"/>
          <w:i/>
          <w:iCs/>
          <w:sz w:val="24"/>
          <w:szCs w:val="24"/>
        </w:rPr>
        <w:t>Ebam</w:t>
      </w:r>
      <w:proofErr w:type="spellEnd"/>
      <w:r>
        <w:rPr>
          <w:rStyle w:val="Aucun"/>
          <w:rFonts w:ascii="Times New Roman" w:hAnsi="Times New Roman"/>
          <w:i/>
          <w:iCs/>
          <w:sz w:val="24"/>
          <w:szCs w:val="24"/>
        </w:rPr>
        <w:t>, l’une des pires perpétrées par les forces armées gouvernementales depuis le déclenchement de ladite crise</w:t>
      </w:r>
      <w:r>
        <w:rPr>
          <w:rStyle w:val="Aucun"/>
          <w:rFonts w:ascii="Times New Roman" w:hAnsi="Times New Roman"/>
          <w:sz w:val="24"/>
          <w:szCs w:val="24"/>
        </w:rPr>
        <w:t xml:space="preserve"> </w:t>
      </w:r>
      <w:r>
        <w:rPr>
          <w:rStyle w:val="Aucun"/>
          <w:rFonts w:ascii="Times New Roman" w:hAnsi="Times New Roman"/>
          <w:i/>
          <w:iCs/>
          <w:sz w:val="24"/>
          <w:szCs w:val="24"/>
        </w:rPr>
        <w:t>»</w:t>
      </w:r>
      <w:r>
        <w:rPr>
          <w:rStyle w:val="Aucun"/>
          <w:rFonts w:ascii="Times New Roman" w:eastAsia="Times New Roman" w:hAnsi="Times New Roman" w:cs="Times New Roman"/>
          <w:i/>
          <w:iCs/>
          <w:sz w:val="24"/>
          <w:szCs w:val="24"/>
          <w:vertAlign w:val="superscript"/>
        </w:rPr>
        <w:footnoteReference w:id="6"/>
      </w:r>
      <w:r>
        <w:rPr>
          <w:rStyle w:val="Aucun"/>
          <w:rFonts w:ascii="Times New Roman" w:hAnsi="Times New Roman"/>
          <w:sz w:val="24"/>
          <w:szCs w:val="24"/>
        </w:rPr>
        <w:t xml:space="preserve">. Ces viols massifs ont été </w:t>
      </w:r>
      <w:r w:rsidRPr="005C4433">
        <w:rPr>
          <w:rStyle w:val="Aucun"/>
          <w:rFonts w:ascii="Times New Roman" w:hAnsi="Times New Roman"/>
          <w:sz w:val="24"/>
          <w:szCs w:val="24"/>
        </w:rPr>
        <w:t>perp</w:t>
      </w:r>
      <w:r>
        <w:rPr>
          <w:rStyle w:val="Aucun"/>
          <w:rFonts w:ascii="Times New Roman" w:hAnsi="Times New Roman"/>
          <w:sz w:val="24"/>
          <w:szCs w:val="24"/>
        </w:rPr>
        <w:t xml:space="preserve">étrés à </w:t>
      </w:r>
      <w:r>
        <w:rPr>
          <w:rStyle w:val="Aucun"/>
          <w:rFonts w:ascii="Times New Roman" w:hAnsi="Times New Roman"/>
          <w:sz w:val="24"/>
          <w:szCs w:val="24"/>
        </w:rPr>
        <w:lastRenderedPageBreak/>
        <w:t xml:space="preserve">des buts de punition des populations civiles de ce village en raison de leur </w:t>
      </w:r>
      <w:proofErr w:type="spellStart"/>
      <w:r>
        <w:rPr>
          <w:rStyle w:val="Aucun"/>
          <w:rFonts w:ascii="Times New Roman" w:hAnsi="Times New Roman"/>
          <w:sz w:val="24"/>
          <w:szCs w:val="24"/>
        </w:rPr>
        <w:t>connivance</w:t>
      </w:r>
      <w:proofErr w:type="spellEnd"/>
      <w:r>
        <w:rPr>
          <w:rStyle w:val="Aucun"/>
          <w:rFonts w:ascii="Times New Roman" w:hAnsi="Times New Roman"/>
          <w:sz w:val="24"/>
          <w:szCs w:val="24"/>
        </w:rPr>
        <w:t xml:space="preserve"> avec les groupes armés séparatistes. Comme le rapporte Human Right Watch : </w:t>
      </w:r>
      <w:r>
        <w:rPr>
          <w:rStyle w:val="Aucun"/>
          <w:rFonts w:ascii="Times New Roman" w:hAnsi="Times New Roman"/>
          <w:i/>
          <w:iCs/>
          <w:sz w:val="24"/>
          <w:szCs w:val="24"/>
        </w:rPr>
        <w:t>« </w:t>
      </w:r>
      <w:proofErr w:type="spellStart"/>
      <w:r>
        <w:rPr>
          <w:rStyle w:val="Aucun"/>
          <w:rFonts w:ascii="Times New Roman" w:hAnsi="Times New Roman"/>
          <w:i/>
          <w:iCs/>
          <w:sz w:val="24"/>
          <w:szCs w:val="24"/>
        </w:rPr>
        <w:t>Certain</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w:t>
      </w:r>
      <w:proofErr w:type="spellStart"/>
      <w:r>
        <w:rPr>
          <w:rStyle w:val="Aucun"/>
          <w:rFonts w:ascii="Times New Roman" w:hAnsi="Times New Roman"/>
          <w:i/>
          <w:iCs/>
          <w:sz w:val="24"/>
          <w:szCs w:val="24"/>
        </w:rPr>
        <w:t>civil</w:t>
      </w:r>
      <w:r>
        <w:rPr>
          <w:rStyle w:val="Aucun"/>
          <w:rFonts w:ascii="Cambria Math" w:eastAsia="Cambria Math" w:hAnsi="Cambria Math" w:cs="Cambria Math"/>
          <w:color w:val="54595F"/>
          <w:sz w:val="24"/>
          <w:szCs w:val="24"/>
          <w:u w:color="54595F"/>
          <w:shd w:val="clear" w:color="auto" w:fill="FFFFFF"/>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ont dé</w:t>
      </w:r>
      <w:r w:rsidRPr="005C4433">
        <w:rPr>
          <w:rStyle w:val="Aucun"/>
          <w:rFonts w:ascii="Times New Roman" w:hAnsi="Times New Roman"/>
          <w:i/>
          <w:iCs/>
          <w:sz w:val="24"/>
          <w:szCs w:val="24"/>
        </w:rPr>
        <w:t>clar</w:t>
      </w:r>
      <w:r>
        <w:rPr>
          <w:rStyle w:val="Aucun"/>
          <w:rFonts w:ascii="Times New Roman" w:hAnsi="Times New Roman"/>
          <w:i/>
          <w:iCs/>
          <w:sz w:val="24"/>
          <w:szCs w:val="24"/>
        </w:rPr>
        <w:t xml:space="preserve">é </w:t>
      </w:r>
      <w:r w:rsidRPr="005C4433">
        <w:rPr>
          <w:rStyle w:val="Aucun"/>
          <w:rFonts w:ascii="Times New Roman" w:hAnsi="Times New Roman"/>
          <w:i/>
          <w:iCs/>
          <w:sz w:val="24"/>
          <w:szCs w:val="24"/>
        </w:rPr>
        <w:t>que l</w:t>
      </w:r>
      <w:r>
        <w:rPr>
          <w:rStyle w:val="Aucun"/>
          <w:rFonts w:ascii="Times New Roman" w:hAnsi="Times New Roman"/>
          <w:i/>
          <w:iCs/>
          <w:sz w:val="24"/>
          <w:szCs w:val="24"/>
        </w:rPr>
        <w:t xml:space="preserve">’opération militaire a été menée en représailles contre des </w:t>
      </w:r>
      <w:proofErr w:type="spellStart"/>
      <w:r>
        <w:rPr>
          <w:rStyle w:val="Aucun"/>
          <w:rFonts w:ascii="Times New Roman" w:hAnsi="Times New Roman"/>
          <w:i/>
          <w:iCs/>
          <w:sz w:val="24"/>
          <w:szCs w:val="24"/>
        </w:rPr>
        <w:t>civil</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sidRPr="005C4433">
        <w:rPr>
          <w:rStyle w:val="Aucun"/>
          <w:rFonts w:ascii="Times New Roman" w:hAnsi="Times New Roman"/>
          <w:i/>
          <w:iCs/>
          <w:sz w:val="24"/>
          <w:szCs w:val="24"/>
        </w:rPr>
        <w:t>s</w:t>
      </w:r>
      <w:proofErr w:type="spellEnd"/>
      <w:r w:rsidRPr="005C4433">
        <w:rPr>
          <w:rStyle w:val="Aucun"/>
          <w:rFonts w:ascii="Times New Roman" w:hAnsi="Times New Roman"/>
          <w:i/>
          <w:iCs/>
          <w:sz w:val="24"/>
          <w:szCs w:val="24"/>
        </w:rPr>
        <w:t xml:space="preserve"> </w:t>
      </w:r>
      <w:proofErr w:type="spellStart"/>
      <w:r w:rsidRPr="005C4433">
        <w:rPr>
          <w:rStyle w:val="Aucun"/>
          <w:rFonts w:ascii="Times New Roman" w:hAnsi="Times New Roman"/>
          <w:i/>
          <w:iCs/>
          <w:sz w:val="24"/>
          <w:szCs w:val="24"/>
        </w:rPr>
        <w:t>suspect</w:t>
      </w:r>
      <w:r>
        <w:rPr>
          <w:rStyle w:val="Aucun"/>
          <w:rFonts w:ascii="Times New Roman" w:hAnsi="Times New Roman"/>
          <w:i/>
          <w:iCs/>
          <w:sz w:val="24"/>
          <w:szCs w:val="24"/>
        </w:rPr>
        <w:t>é</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sidRPr="005C4433">
        <w:rPr>
          <w:rStyle w:val="Aucun"/>
          <w:rFonts w:ascii="Times New Roman" w:hAnsi="Times New Roman"/>
          <w:i/>
          <w:iCs/>
          <w:sz w:val="24"/>
          <w:szCs w:val="24"/>
        </w:rPr>
        <w:t>s</w:t>
      </w:r>
      <w:proofErr w:type="spellEnd"/>
      <w:r w:rsidRPr="005C4433">
        <w:rPr>
          <w:rStyle w:val="Aucun"/>
          <w:rFonts w:ascii="Times New Roman" w:hAnsi="Times New Roman"/>
          <w:i/>
          <w:iCs/>
          <w:sz w:val="24"/>
          <w:szCs w:val="24"/>
        </w:rPr>
        <w:t xml:space="preserve"> de coop</w:t>
      </w:r>
      <w:r>
        <w:rPr>
          <w:rStyle w:val="Aucun"/>
          <w:rFonts w:ascii="Times New Roman" w:hAnsi="Times New Roman"/>
          <w:i/>
          <w:iCs/>
          <w:sz w:val="24"/>
          <w:szCs w:val="24"/>
        </w:rPr>
        <w:t xml:space="preserve">érer avec des combattants séparatistes armés et de les abriter. Les </w:t>
      </w:r>
      <w:proofErr w:type="spellStart"/>
      <w:r>
        <w:rPr>
          <w:rStyle w:val="Aucun"/>
          <w:rFonts w:ascii="Times New Roman" w:hAnsi="Times New Roman"/>
          <w:i/>
          <w:iCs/>
          <w:sz w:val="24"/>
          <w:szCs w:val="24"/>
        </w:rPr>
        <w:t>soldat</w:t>
      </w:r>
      <w:r>
        <w:rPr>
          <w:rStyle w:val="Aucun"/>
          <w:rFonts w:ascii="Cambria Math" w:eastAsia="Cambria Math" w:hAnsi="Cambria Math" w:cs="Cambria Math"/>
          <w:color w:val="54595F"/>
          <w:sz w:val="24"/>
          <w:szCs w:val="24"/>
          <w:u w:color="54595F"/>
          <w:shd w:val="clear" w:color="auto" w:fill="FFFFFF"/>
        </w:rPr>
        <w:t>⋅</w:t>
      </w:r>
      <w:r>
        <w:rPr>
          <w:rStyle w:val="Aucun"/>
          <w:rFonts w:ascii="Times New Roman" w:hAnsi="Times New Roman"/>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w:t>
      </w:r>
      <w:proofErr w:type="spellStart"/>
      <w:r>
        <w:rPr>
          <w:rStyle w:val="Aucun"/>
          <w:rFonts w:ascii="Times New Roman" w:hAnsi="Times New Roman"/>
          <w:i/>
          <w:iCs/>
          <w:sz w:val="24"/>
          <w:szCs w:val="24"/>
        </w:rPr>
        <w:t>auteur</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de ces viols ont également laissé entendre, dans leurs insultes verbales contre leurs victimes, qu’</w:t>
      </w:r>
      <w:proofErr w:type="spellStart"/>
      <w:r>
        <w:rPr>
          <w:rStyle w:val="Aucun"/>
          <w:rFonts w:ascii="Times New Roman" w:hAnsi="Times New Roman"/>
          <w:i/>
          <w:iCs/>
          <w:sz w:val="24"/>
          <w:szCs w:val="24"/>
        </w:rPr>
        <w:t>il</w:t>
      </w:r>
      <w:r>
        <w:rPr>
          <w:rStyle w:val="Aucun"/>
          <w:rFonts w:ascii="Cambria Math" w:eastAsia="Cambria Math" w:hAnsi="Cambria Math" w:cs="Cambria Math"/>
          <w:i/>
          <w:iCs/>
          <w:sz w:val="24"/>
          <w:szCs w:val="24"/>
        </w:rPr>
        <w:t>⋅</w:t>
      </w:r>
      <w:r>
        <w:rPr>
          <w:rStyle w:val="Aucun"/>
          <w:rFonts w:ascii="Times New Roman" w:hAnsi="Times New Roman"/>
          <w:i/>
          <w:iCs/>
          <w:sz w:val="24"/>
          <w:szCs w:val="24"/>
        </w:rPr>
        <w:t>lle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les commettaient en partie pour les punir de leur affiliation pré</w:t>
      </w:r>
      <w:r w:rsidRPr="005C4433">
        <w:rPr>
          <w:rStyle w:val="Aucun"/>
          <w:rFonts w:ascii="Times New Roman" w:hAnsi="Times New Roman"/>
          <w:i/>
          <w:iCs/>
          <w:sz w:val="24"/>
          <w:szCs w:val="24"/>
        </w:rPr>
        <w:t>sum</w:t>
      </w:r>
      <w:r>
        <w:rPr>
          <w:rStyle w:val="Aucun"/>
          <w:rFonts w:ascii="Times New Roman" w:hAnsi="Times New Roman"/>
          <w:i/>
          <w:iCs/>
          <w:sz w:val="24"/>
          <w:szCs w:val="24"/>
        </w:rPr>
        <w:t xml:space="preserve">ée avec des </w:t>
      </w:r>
      <w:proofErr w:type="spellStart"/>
      <w:r>
        <w:rPr>
          <w:rStyle w:val="Aucun"/>
          <w:rFonts w:ascii="Times New Roman" w:hAnsi="Times New Roman"/>
          <w:i/>
          <w:iCs/>
          <w:sz w:val="24"/>
          <w:szCs w:val="24"/>
        </w:rPr>
        <w:t>combattant</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séparatistes »</w:t>
      </w:r>
      <w:r>
        <w:rPr>
          <w:rStyle w:val="Aucun"/>
          <w:rFonts w:ascii="Times New Roman" w:eastAsia="Times New Roman" w:hAnsi="Times New Roman" w:cs="Times New Roman"/>
          <w:i/>
          <w:iCs/>
          <w:sz w:val="24"/>
          <w:szCs w:val="24"/>
          <w:vertAlign w:val="superscript"/>
        </w:rPr>
        <w:footnoteReference w:id="7"/>
      </w:r>
      <w:r>
        <w:rPr>
          <w:rStyle w:val="Aucun"/>
          <w:rFonts w:ascii="Times New Roman" w:hAnsi="Times New Roman"/>
          <w:sz w:val="24"/>
          <w:szCs w:val="24"/>
        </w:rPr>
        <w:t xml:space="preserve">. Ces atrocités sexuelles ont entraîné l’exode massif de </w:t>
      </w:r>
      <w:proofErr w:type="spellStart"/>
      <w:r>
        <w:rPr>
          <w:rStyle w:val="Aucun"/>
          <w:rFonts w:ascii="Times New Roman" w:hAnsi="Times New Roman"/>
          <w:sz w:val="24"/>
          <w:szCs w:val="24"/>
        </w:rPr>
        <w:t>nombreuse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s</w:t>
      </w:r>
      <w:proofErr w:type="spellEnd"/>
      <w:r>
        <w:rPr>
          <w:rStyle w:val="Aucun"/>
          <w:rFonts w:ascii="Times New Roman" w:hAnsi="Times New Roman"/>
          <w:sz w:val="24"/>
          <w:szCs w:val="24"/>
        </w:rPr>
        <w:t xml:space="preserve"> </w:t>
      </w:r>
      <w:proofErr w:type="spellStart"/>
      <w:r>
        <w:rPr>
          <w:rStyle w:val="Aucun"/>
          <w:rFonts w:ascii="Times New Roman" w:hAnsi="Times New Roman"/>
          <w:sz w:val="24"/>
          <w:szCs w:val="24"/>
        </w:rPr>
        <w:t>civil</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rPr>
        <w:t>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rPr>
        <w:t>s</w:t>
      </w:r>
      <w:proofErr w:type="spellEnd"/>
      <w:r>
        <w:rPr>
          <w:rStyle w:val="Aucun"/>
          <w:rFonts w:ascii="Times New Roman" w:hAnsi="Times New Roman"/>
          <w:sz w:val="24"/>
          <w:szCs w:val="24"/>
        </w:rPr>
        <w:t xml:space="preserve"> de cette localité.  </w:t>
      </w:r>
    </w:p>
    <w:p w14:paraId="48A069F1" w14:textId="77777777" w:rsidR="00F25018" w:rsidRDefault="00000000">
      <w:pPr>
        <w:pStyle w:val="CorpsA"/>
        <w:spacing w:after="160" w:line="360" w:lineRule="auto"/>
        <w:jc w:val="both"/>
        <w:rPr>
          <w:rStyle w:val="Aucun"/>
          <w:rFonts w:ascii="Times New Roman" w:eastAsia="Times New Roman" w:hAnsi="Times New Roman" w:cs="Times New Roman"/>
          <w:b/>
          <w:bCs/>
          <w:sz w:val="24"/>
          <w:szCs w:val="24"/>
        </w:rPr>
      </w:pPr>
      <w:r>
        <w:rPr>
          <w:rStyle w:val="Aucun"/>
          <w:rFonts w:ascii="Times New Roman" w:hAnsi="Times New Roman"/>
          <w:b/>
          <w:bCs/>
          <w:sz w:val="24"/>
          <w:szCs w:val="24"/>
        </w:rPr>
        <w:t xml:space="preserve">2-L’usage des viols et tortures sexuelles comme instrument de punition des femmes et des filles par les groupes armés séparatistes  </w:t>
      </w:r>
    </w:p>
    <w:p w14:paraId="4D0D181E" w14:textId="77777777" w:rsidR="00F25018" w:rsidRDefault="00000000">
      <w:pPr>
        <w:pStyle w:val="CorpsA"/>
        <w:spacing w:after="160" w:line="360" w:lineRule="auto"/>
        <w:ind w:firstLine="72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Les groupes armés séparatistes commettent des viols comme moyen de torture et de punition des femmes et des filles, accusées d’être des espionnes au service des forces gouvernementales (en anglais </w:t>
      </w:r>
      <w:r>
        <w:rPr>
          <w:rStyle w:val="Aucun"/>
          <w:rFonts w:ascii="Times New Roman" w:hAnsi="Times New Roman"/>
          <w:i/>
          <w:iCs/>
          <w:sz w:val="24"/>
          <w:szCs w:val="24"/>
        </w:rPr>
        <w:t>« </w:t>
      </w:r>
      <w:proofErr w:type="spellStart"/>
      <w:r w:rsidRPr="005C4433">
        <w:rPr>
          <w:rStyle w:val="Aucun"/>
          <w:rFonts w:ascii="Times New Roman" w:hAnsi="Times New Roman"/>
          <w:i/>
          <w:iCs/>
          <w:sz w:val="24"/>
          <w:szCs w:val="24"/>
        </w:rPr>
        <w:t>Blackleg</w:t>
      </w:r>
      <w:proofErr w:type="spellEnd"/>
      <w:r>
        <w:rPr>
          <w:rStyle w:val="Aucun"/>
          <w:rFonts w:ascii="Times New Roman" w:hAnsi="Times New Roman"/>
          <w:sz w:val="24"/>
          <w:szCs w:val="24"/>
        </w:rPr>
        <w:t xml:space="preserve"> »), ou encore d’avoir eu des rapports sexuels avec les membres des FDS. En effet, toute interaction avec les protagonistes du conflit s’avère donc dangereuse pour les femmes, les filles tout comme les hommes. Les </w:t>
      </w:r>
      <w:proofErr w:type="spellStart"/>
      <w:r>
        <w:rPr>
          <w:rStyle w:val="Aucun"/>
          <w:rFonts w:ascii="Times New Roman" w:hAnsi="Times New Roman"/>
          <w:sz w:val="24"/>
          <w:szCs w:val="24"/>
        </w:rPr>
        <w:t>belligerant</w:t>
      </w:r>
      <w:r>
        <w:rPr>
          <w:rStyle w:val="Aucun"/>
          <w:rFonts w:ascii="Cambria Math" w:eastAsia="Cambria Math" w:hAnsi="Cambria Math" w:cs="Cambria Math"/>
          <w:sz w:val="24"/>
          <w:szCs w:val="24"/>
        </w:rPr>
        <w:t>⋅</w:t>
      </w:r>
      <w:r>
        <w:rPr>
          <w:rStyle w:val="Aucun"/>
          <w:rFonts w:ascii="Times New Roman" w:hAnsi="Times New Roman"/>
          <w:sz w:val="24"/>
          <w:szCs w:val="24"/>
        </w:rPr>
        <w:t>e</w:t>
      </w:r>
      <w:r>
        <w:rPr>
          <w:rStyle w:val="Aucun"/>
          <w:rFonts w:ascii="Cambria Math" w:eastAsia="Cambria Math" w:hAnsi="Cambria Math" w:cs="Cambria Math"/>
          <w:sz w:val="24"/>
          <w:szCs w:val="24"/>
        </w:rPr>
        <w:t>⋅</w:t>
      </w:r>
      <w:r>
        <w:rPr>
          <w:rStyle w:val="Aucun"/>
          <w:rFonts w:ascii="Times New Roman" w:hAnsi="Times New Roman"/>
          <w:sz w:val="24"/>
          <w:szCs w:val="24"/>
        </w:rPr>
        <w:t>s</w:t>
      </w:r>
      <w:proofErr w:type="spellEnd"/>
      <w:r>
        <w:rPr>
          <w:rStyle w:val="Aucun"/>
          <w:rFonts w:ascii="Times New Roman" w:hAnsi="Times New Roman"/>
          <w:sz w:val="24"/>
          <w:szCs w:val="24"/>
        </w:rPr>
        <w:t xml:space="preserve"> des deux camps ont tendance à </w:t>
      </w:r>
      <w:r w:rsidRPr="005C4433">
        <w:rPr>
          <w:rStyle w:val="Aucun"/>
          <w:rFonts w:ascii="Times New Roman" w:hAnsi="Times New Roman"/>
          <w:sz w:val="24"/>
          <w:szCs w:val="24"/>
        </w:rPr>
        <w:t>consid</w:t>
      </w:r>
      <w:r>
        <w:rPr>
          <w:rStyle w:val="Aucun"/>
          <w:rFonts w:ascii="Times New Roman" w:hAnsi="Times New Roman"/>
          <w:sz w:val="24"/>
          <w:szCs w:val="24"/>
        </w:rPr>
        <w:t>érer les femmes comme une source d’informations sur l’ennemi ou, pire, comme des espionnes. Dans les territoires disputés par les forces gouvernementales et les groupes armés séparatistes, des femmes et des filles se sont empêtrées dans des relations avec des hommes des deux camps, ce qui a parfois conduit à leur assassinat</w:t>
      </w:r>
      <w:r>
        <w:rPr>
          <w:rStyle w:val="Aucun"/>
          <w:rFonts w:ascii="Times New Roman" w:eastAsia="Times New Roman" w:hAnsi="Times New Roman" w:cs="Times New Roman"/>
          <w:sz w:val="24"/>
          <w:szCs w:val="24"/>
          <w:vertAlign w:val="superscript"/>
        </w:rPr>
        <w:footnoteReference w:id="8"/>
      </w:r>
      <w:r>
        <w:rPr>
          <w:rStyle w:val="Aucun"/>
          <w:rFonts w:ascii="Times New Roman" w:hAnsi="Times New Roman"/>
          <w:sz w:val="24"/>
          <w:szCs w:val="24"/>
        </w:rPr>
        <w:t>. De multiples cas de tortures, de viols et de meurtres des femmes ont été rapportés par les organisations humanitaires et de défense de droits de l’homme. Par exemple, l’</w:t>
      </w:r>
      <w:r w:rsidRPr="005C4433">
        <w:rPr>
          <w:rStyle w:val="Aucun"/>
          <w:rFonts w:ascii="Times New Roman" w:hAnsi="Times New Roman"/>
          <w:sz w:val="24"/>
          <w:szCs w:val="24"/>
        </w:rPr>
        <w:t xml:space="preserve">ONG Stand Up </w:t>
      </w:r>
      <w:proofErr w:type="spellStart"/>
      <w:r w:rsidRPr="005C4433">
        <w:rPr>
          <w:rStyle w:val="Aucun"/>
          <w:rFonts w:ascii="Times New Roman" w:hAnsi="Times New Roman"/>
          <w:sz w:val="24"/>
          <w:szCs w:val="24"/>
        </w:rPr>
        <w:t>Cameroon</w:t>
      </w:r>
      <w:proofErr w:type="spellEnd"/>
      <w:r w:rsidRPr="005C4433">
        <w:rPr>
          <w:rStyle w:val="Aucun"/>
          <w:rFonts w:ascii="Times New Roman" w:hAnsi="Times New Roman"/>
          <w:sz w:val="24"/>
          <w:szCs w:val="24"/>
        </w:rPr>
        <w:t xml:space="preserve"> a rapport</w:t>
      </w:r>
      <w:r>
        <w:rPr>
          <w:rStyle w:val="Aucun"/>
          <w:rFonts w:ascii="Times New Roman" w:hAnsi="Times New Roman"/>
          <w:sz w:val="24"/>
          <w:szCs w:val="24"/>
        </w:rPr>
        <w:t xml:space="preserve">é </w:t>
      </w:r>
      <w:r w:rsidRPr="005C4433">
        <w:rPr>
          <w:rStyle w:val="Aucun"/>
          <w:rFonts w:ascii="Times New Roman" w:hAnsi="Times New Roman"/>
          <w:sz w:val="24"/>
          <w:szCs w:val="24"/>
        </w:rPr>
        <w:t>que:</w:t>
      </w:r>
      <w:r>
        <w:rPr>
          <w:rStyle w:val="Aucun"/>
          <w:rFonts w:ascii="Times New Roman" w:hAnsi="Times New Roman"/>
          <w:sz w:val="24"/>
          <w:szCs w:val="24"/>
        </w:rPr>
        <w:t xml:space="preserve"> « </w:t>
      </w:r>
      <w:r>
        <w:rPr>
          <w:rStyle w:val="Aucun"/>
          <w:rFonts w:ascii="Times New Roman" w:hAnsi="Times New Roman"/>
          <w:i/>
          <w:iCs/>
          <w:sz w:val="24"/>
          <w:szCs w:val="24"/>
        </w:rPr>
        <w:t xml:space="preserve">le 22 janvier 2021, sur les réseaux sociaux, deux cyber-journalistes </w:t>
      </w:r>
      <w:proofErr w:type="spellStart"/>
      <w:r>
        <w:rPr>
          <w:rStyle w:val="Aucun"/>
          <w:rFonts w:ascii="Times New Roman" w:hAnsi="Times New Roman"/>
          <w:i/>
          <w:iCs/>
          <w:sz w:val="24"/>
          <w:szCs w:val="24"/>
        </w:rPr>
        <w:t>camerounais</w:t>
      </w:r>
      <w:r>
        <w:rPr>
          <w:rStyle w:val="Aucun"/>
          <w:rFonts w:ascii="Cambria Math" w:eastAsia="Cambria Math" w:hAnsi="Cambria Math" w:cs="Cambria Math"/>
          <w:i/>
          <w:iCs/>
          <w:sz w:val="24"/>
          <w:szCs w:val="24"/>
        </w:rPr>
        <w:t>⋅</w:t>
      </w:r>
      <w:r>
        <w:rPr>
          <w:rStyle w:val="Aucun"/>
          <w:rFonts w:ascii="Times New Roman" w:hAnsi="Times New Roman"/>
          <w:i/>
          <w:iCs/>
          <w:sz w:val="24"/>
          <w:szCs w:val="24"/>
        </w:rPr>
        <w:t>e</w:t>
      </w:r>
      <w:r>
        <w:rPr>
          <w:rStyle w:val="Aucun"/>
          <w:rFonts w:ascii="Cambria Math" w:eastAsia="Cambria Math" w:hAnsi="Cambria Math" w:cs="Cambria Math"/>
          <w:i/>
          <w:iCs/>
          <w:sz w:val="24"/>
          <w:szCs w:val="24"/>
        </w:rPr>
        <w:t>⋅</w:t>
      </w:r>
      <w:r>
        <w:rPr>
          <w:rStyle w:val="Aucun"/>
          <w:rFonts w:ascii="Times New Roman" w:hAnsi="Times New Roman"/>
          <w:i/>
          <w:iCs/>
          <w:sz w:val="24"/>
          <w:szCs w:val="24"/>
        </w:rPr>
        <w:t>s</w:t>
      </w:r>
      <w:proofErr w:type="spellEnd"/>
      <w:r>
        <w:rPr>
          <w:rStyle w:val="Aucun"/>
          <w:rFonts w:ascii="Times New Roman" w:hAnsi="Times New Roman"/>
          <w:i/>
          <w:iCs/>
          <w:sz w:val="24"/>
          <w:szCs w:val="24"/>
        </w:rPr>
        <w:t xml:space="preserve">, Ma </w:t>
      </w:r>
      <w:proofErr w:type="spellStart"/>
      <w:r>
        <w:rPr>
          <w:rStyle w:val="Aucun"/>
          <w:rFonts w:ascii="Times New Roman" w:hAnsi="Times New Roman"/>
          <w:i/>
          <w:iCs/>
          <w:sz w:val="24"/>
          <w:szCs w:val="24"/>
        </w:rPr>
        <w:t>Contri</w:t>
      </w:r>
      <w:proofErr w:type="spellEnd"/>
      <w:r>
        <w:rPr>
          <w:rStyle w:val="Aucun"/>
          <w:rFonts w:ascii="Times New Roman" w:hAnsi="Times New Roman"/>
          <w:i/>
          <w:iCs/>
          <w:sz w:val="24"/>
          <w:szCs w:val="24"/>
        </w:rPr>
        <w:t xml:space="preserve"> Pipo et Mimi </w:t>
      </w:r>
      <w:proofErr w:type="spellStart"/>
      <w:r>
        <w:rPr>
          <w:rStyle w:val="Aucun"/>
          <w:rFonts w:ascii="Times New Roman" w:hAnsi="Times New Roman"/>
          <w:i/>
          <w:iCs/>
          <w:sz w:val="24"/>
          <w:szCs w:val="24"/>
        </w:rPr>
        <w:t>Mefo</w:t>
      </w:r>
      <w:proofErr w:type="spellEnd"/>
      <w:r>
        <w:rPr>
          <w:rStyle w:val="Aucun"/>
          <w:rFonts w:ascii="Times New Roman" w:hAnsi="Times New Roman"/>
          <w:i/>
          <w:iCs/>
          <w:sz w:val="24"/>
          <w:szCs w:val="24"/>
        </w:rPr>
        <w:t xml:space="preserve"> ont publié des vidéos de deux femmes violées et torturées sexuellement dans un endroit non identifié au Sud-Ouest. Les femmes ont été dé</w:t>
      </w:r>
      <w:r w:rsidRPr="005C4433">
        <w:rPr>
          <w:rStyle w:val="Aucun"/>
          <w:rFonts w:ascii="Times New Roman" w:hAnsi="Times New Roman"/>
          <w:i/>
          <w:iCs/>
          <w:sz w:val="24"/>
          <w:szCs w:val="24"/>
        </w:rPr>
        <w:t>shabill</w:t>
      </w:r>
      <w:r>
        <w:rPr>
          <w:rStyle w:val="Aucun"/>
          <w:rFonts w:ascii="Times New Roman" w:hAnsi="Times New Roman"/>
          <w:i/>
          <w:iCs/>
          <w:sz w:val="24"/>
          <w:szCs w:val="24"/>
        </w:rPr>
        <w:t>ées et du plastique chaud provenant de sachets brû</w:t>
      </w:r>
      <w:r w:rsidRPr="005C4433">
        <w:rPr>
          <w:rStyle w:val="Aucun"/>
          <w:rFonts w:ascii="Times New Roman" w:hAnsi="Times New Roman"/>
          <w:i/>
          <w:iCs/>
          <w:sz w:val="24"/>
          <w:szCs w:val="24"/>
        </w:rPr>
        <w:t xml:space="preserve">lants a </w:t>
      </w:r>
      <w:r>
        <w:rPr>
          <w:rStyle w:val="Aucun"/>
          <w:rFonts w:ascii="Times New Roman" w:hAnsi="Times New Roman"/>
          <w:i/>
          <w:iCs/>
          <w:sz w:val="24"/>
          <w:szCs w:val="24"/>
        </w:rPr>
        <w:t xml:space="preserve">été versé sur leurs parties génitales. Dans cette vidéo, Les séparatistes armés ont affirmé </w:t>
      </w:r>
      <w:r w:rsidRPr="005C4433">
        <w:rPr>
          <w:rStyle w:val="Aucun"/>
          <w:rFonts w:ascii="Times New Roman" w:hAnsi="Times New Roman"/>
          <w:i/>
          <w:iCs/>
          <w:sz w:val="24"/>
          <w:szCs w:val="24"/>
        </w:rPr>
        <w:t>que c</w:t>
      </w:r>
      <w:r>
        <w:rPr>
          <w:rStyle w:val="Aucun"/>
          <w:rFonts w:ascii="Times New Roman" w:hAnsi="Times New Roman"/>
          <w:i/>
          <w:iCs/>
          <w:sz w:val="24"/>
          <w:szCs w:val="24"/>
        </w:rPr>
        <w:t xml:space="preserve">’était leur punition pour avoir eu une relation avec des militaires </w:t>
      </w:r>
      <w:r>
        <w:rPr>
          <w:rStyle w:val="Aucun"/>
          <w:rFonts w:ascii="Times New Roman" w:hAnsi="Times New Roman"/>
          <w:sz w:val="24"/>
          <w:szCs w:val="24"/>
        </w:rPr>
        <w:t>»</w:t>
      </w:r>
      <w:r>
        <w:rPr>
          <w:rStyle w:val="Aucun"/>
          <w:rFonts w:ascii="Times New Roman" w:eastAsia="Times New Roman" w:hAnsi="Times New Roman" w:cs="Times New Roman"/>
          <w:sz w:val="24"/>
          <w:szCs w:val="24"/>
          <w:vertAlign w:val="superscript"/>
        </w:rPr>
        <w:footnoteReference w:id="9"/>
      </w:r>
      <w:r>
        <w:rPr>
          <w:rStyle w:val="Aucun"/>
          <w:rFonts w:ascii="Times New Roman" w:hAnsi="Times New Roman"/>
          <w:b/>
          <w:bCs/>
          <w:sz w:val="24"/>
          <w:szCs w:val="24"/>
        </w:rPr>
        <w:t>.</w:t>
      </w:r>
      <w:r>
        <w:rPr>
          <w:rStyle w:val="Aucun"/>
          <w:rFonts w:ascii="Times New Roman" w:hAnsi="Times New Roman"/>
          <w:sz w:val="24"/>
          <w:szCs w:val="24"/>
        </w:rPr>
        <w:t xml:space="preserve"> </w:t>
      </w:r>
    </w:p>
    <w:p w14:paraId="0A632160" w14:textId="77777777" w:rsidR="00F25018" w:rsidRDefault="00000000">
      <w:pPr>
        <w:pStyle w:val="CorpsA"/>
        <w:spacing w:after="200" w:line="360" w:lineRule="auto"/>
        <w:ind w:firstLine="708"/>
        <w:jc w:val="both"/>
        <w:rPr>
          <w:rStyle w:val="Aucun"/>
          <w:rFonts w:ascii="Times New Roman" w:eastAsia="Times New Roman" w:hAnsi="Times New Roman" w:cs="Times New Roman"/>
          <w:sz w:val="24"/>
          <w:szCs w:val="24"/>
        </w:rPr>
      </w:pPr>
      <w:r w:rsidRPr="005C4433">
        <w:rPr>
          <w:rStyle w:val="Aucun"/>
          <w:rFonts w:ascii="Times New Roman" w:hAnsi="Times New Roman"/>
          <w:b/>
          <w:bCs/>
          <w:sz w:val="24"/>
          <w:szCs w:val="24"/>
        </w:rPr>
        <w:t>Conclusion</w:t>
      </w:r>
      <w:r>
        <w:rPr>
          <w:rStyle w:val="Aucun"/>
          <w:rFonts w:ascii="Times New Roman" w:hAnsi="Times New Roman"/>
          <w:b/>
          <w:bCs/>
          <w:sz w:val="24"/>
          <w:szCs w:val="24"/>
        </w:rPr>
        <w:t> </w:t>
      </w:r>
      <w:r>
        <w:rPr>
          <w:rStyle w:val="Aucun"/>
          <w:rFonts w:ascii="Times New Roman" w:hAnsi="Times New Roman"/>
          <w:sz w:val="24"/>
          <w:szCs w:val="24"/>
        </w:rPr>
        <w:t xml:space="preserve"> </w:t>
      </w:r>
    </w:p>
    <w:p w14:paraId="180417A0" w14:textId="77777777" w:rsidR="00F25018" w:rsidRDefault="00000000">
      <w:pPr>
        <w:pStyle w:val="CorpsA"/>
        <w:spacing w:line="360" w:lineRule="auto"/>
        <w:ind w:firstLine="720"/>
        <w:jc w:val="both"/>
        <w:rPr>
          <w:rStyle w:val="Aucun"/>
          <w:rFonts w:ascii="Times New Roman" w:eastAsia="Times New Roman" w:hAnsi="Times New Roman" w:cs="Times New Roman"/>
          <w:sz w:val="24"/>
          <w:szCs w:val="24"/>
        </w:rPr>
      </w:pPr>
      <w:bookmarkStart w:id="0" w:name="_headingh.30j0zll"/>
      <w:bookmarkEnd w:id="0"/>
      <w:r>
        <w:rPr>
          <w:rStyle w:val="Aucun"/>
          <w:rFonts w:ascii="Times New Roman" w:hAnsi="Times New Roman"/>
          <w:sz w:val="24"/>
          <w:szCs w:val="24"/>
        </w:rPr>
        <w:lastRenderedPageBreak/>
        <w:t xml:space="preserve">Cette analyse met en lumière usage des crimes sexuels comme une stratégie pour punir et répandre la terreur dans les Régions du Nord-Ouest et du Sud-Ouest. La sexualité des femmes et des filles est donc utilisée dans ce conflit comme un moyen de guerre très efficace par les </w:t>
      </w:r>
      <w:proofErr w:type="spellStart"/>
      <w:r>
        <w:rPr>
          <w:rStyle w:val="Aucun"/>
          <w:rFonts w:ascii="Times New Roman" w:hAnsi="Times New Roman"/>
          <w:sz w:val="24"/>
          <w:szCs w:val="24"/>
        </w:rPr>
        <w:t>différent</w:t>
      </w:r>
      <w:r>
        <w:rPr>
          <w:rStyle w:val="Aucun"/>
          <w:rFonts w:ascii="Cambria Math" w:eastAsia="Cambria Math" w:hAnsi="Cambria Math" w:cs="Cambria Math"/>
          <w:sz w:val="24"/>
          <w:szCs w:val="24"/>
        </w:rPr>
        <w:t>⋅</w:t>
      </w:r>
      <w:r>
        <w:rPr>
          <w:rStyle w:val="Aucun"/>
          <w:rFonts w:ascii="Times New Roman" w:hAnsi="Times New Roman"/>
          <w:sz w:val="24"/>
          <w:szCs w:val="24"/>
        </w:rPr>
        <w:t>e</w:t>
      </w:r>
      <w:r>
        <w:rPr>
          <w:rStyle w:val="Aucun"/>
          <w:rFonts w:ascii="Cambria Math" w:eastAsia="Cambria Math" w:hAnsi="Cambria Math" w:cs="Cambria Math"/>
          <w:sz w:val="24"/>
          <w:szCs w:val="24"/>
        </w:rPr>
        <w:t>⋅</w:t>
      </w:r>
      <w:r w:rsidRPr="005C4433">
        <w:rPr>
          <w:rStyle w:val="Aucun"/>
          <w:rFonts w:ascii="Times New Roman" w:hAnsi="Times New Roman"/>
          <w:sz w:val="24"/>
          <w:szCs w:val="24"/>
        </w:rPr>
        <w:t>s</w:t>
      </w:r>
      <w:proofErr w:type="spellEnd"/>
      <w:r w:rsidRPr="005C4433">
        <w:rPr>
          <w:rStyle w:val="Aucun"/>
          <w:rFonts w:ascii="Times New Roman" w:hAnsi="Times New Roman"/>
          <w:sz w:val="24"/>
          <w:szCs w:val="24"/>
        </w:rPr>
        <w:t xml:space="preserve"> </w:t>
      </w:r>
      <w:proofErr w:type="spellStart"/>
      <w:r w:rsidRPr="005C4433">
        <w:rPr>
          <w:rStyle w:val="Aucun"/>
          <w:rFonts w:ascii="Times New Roman" w:hAnsi="Times New Roman"/>
          <w:sz w:val="24"/>
          <w:szCs w:val="24"/>
        </w:rPr>
        <w:t>bellig</w:t>
      </w:r>
      <w:r>
        <w:rPr>
          <w:rStyle w:val="Aucun"/>
          <w:rFonts w:ascii="Times New Roman" w:hAnsi="Times New Roman"/>
          <w:sz w:val="24"/>
          <w:szCs w:val="24"/>
        </w:rPr>
        <w:t>érant</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shd w:val="clear" w:color="auto" w:fill="FFFFFF"/>
        </w:rPr>
        <w:t>e</w:t>
      </w:r>
      <w:r>
        <w:rPr>
          <w:rStyle w:val="Aucun"/>
          <w:rFonts w:ascii="Cambria Math" w:eastAsia="Cambria Math" w:hAnsi="Cambria Math" w:cs="Cambria Math"/>
          <w:sz w:val="24"/>
          <w:szCs w:val="24"/>
          <w:shd w:val="clear" w:color="auto" w:fill="FFFFFF"/>
        </w:rPr>
        <w:t>⋅</w:t>
      </w:r>
      <w:r>
        <w:rPr>
          <w:rStyle w:val="Aucun"/>
          <w:rFonts w:ascii="Times New Roman" w:hAnsi="Times New Roman"/>
          <w:sz w:val="24"/>
          <w:szCs w:val="24"/>
        </w:rPr>
        <w:t>s</w:t>
      </w:r>
      <w:proofErr w:type="spellEnd"/>
      <w:r>
        <w:rPr>
          <w:rStyle w:val="Aucun"/>
          <w:rFonts w:ascii="Times New Roman" w:hAnsi="Times New Roman"/>
          <w:sz w:val="24"/>
          <w:szCs w:val="24"/>
        </w:rPr>
        <w:t xml:space="preserve"> en conflit</w:t>
      </w:r>
      <w:r>
        <w:rPr>
          <w:rStyle w:val="Aucun"/>
          <w:rFonts w:ascii="Times New Roman" w:eastAsia="Times New Roman" w:hAnsi="Times New Roman" w:cs="Times New Roman"/>
          <w:sz w:val="24"/>
          <w:szCs w:val="24"/>
          <w:vertAlign w:val="superscript"/>
        </w:rPr>
        <w:footnoteReference w:id="10"/>
      </w:r>
      <w:r>
        <w:rPr>
          <w:rStyle w:val="Aucun"/>
          <w:rFonts w:ascii="Times New Roman" w:hAnsi="Times New Roman"/>
          <w:sz w:val="24"/>
          <w:szCs w:val="24"/>
        </w:rPr>
        <w:t xml:space="preserve">. Ces crimes sexuels ne sont pas poussés seulement par le désir sexuel, mais plutôt comme une arme de répression et </w:t>
      </w:r>
      <w:proofErr w:type="spellStart"/>
      <w:r>
        <w:rPr>
          <w:rStyle w:val="Aucun"/>
          <w:rFonts w:ascii="Times New Roman" w:hAnsi="Times New Roman"/>
          <w:sz w:val="24"/>
          <w:szCs w:val="24"/>
        </w:rPr>
        <w:t>térrorisation</w:t>
      </w:r>
      <w:proofErr w:type="spellEnd"/>
      <w:r>
        <w:rPr>
          <w:rStyle w:val="Aucun"/>
          <w:rFonts w:ascii="Times New Roman" w:hAnsi="Times New Roman"/>
          <w:sz w:val="24"/>
          <w:szCs w:val="24"/>
        </w:rPr>
        <w:t xml:space="preserve"> des populations civiles</w:t>
      </w:r>
      <w:r>
        <w:rPr>
          <w:rStyle w:val="Aucun"/>
          <w:rFonts w:ascii="Times New Roman" w:eastAsia="Times New Roman" w:hAnsi="Times New Roman" w:cs="Times New Roman"/>
          <w:sz w:val="24"/>
          <w:szCs w:val="24"/>
          <w:vertAlign w:val="superscript"/>
        </w:rPr>
        <w:footnoteReference w:id="11"/>
      </w:r>
      <w:r>
        <w:rPr>
          <w:rStyle w:val="Aucun"/>
          <w:rFonts w:ascii="Times New Roman" w:hAnsi="Times New Roman"/>
          <w:sz w:val="24"/>
          <w:szCs w:val="24"/>
        </w:rPr>
        <w:t xml:space="preserve">. </w:t>
      </w:r>
      <w:r>
        <w:rPr>
          <w:rStyle w:val="Aucun"/>
          <w:rFonts w:ascii="Times New Roman" w:hAnsi="Times New Roman"/>
          <w:sz w:val="24"/>
          <w:szCs w:val="24"/>
          <w:shd w:val="clear" w:color="auto" w:fill="FFFFFF"/>
        </w:rPr>
        <w:t xml:space="preserve">Selon l’anthropologue Véronique </w:t>
      </w:r>
      <w:proofErr w:type="spellStart"/>
      <w:r>
        <w:rPr>
          <w:rStyle w:val="Aucun"/>
          <w:rFonts w:ascii="Times New Roman" w:hAnsi="Times New Roman"/>
          <w:sz w:val="24"/>
          <w:szCs w:val="24"/>
          <w:shd w:val="clear" w:color="auto" w:fill="FFFFFF"/>
        </w:rPr>
        <w:t>Nahoum</w:t>
      </w:r>
      <w:proofErr w:type="spellEnd"/>
      <w:r>
        <w:rPr>
          <w:rStyle w:val="Aucun"/>
          <w:rFonts w:ascii="Times New Roman" w:hAnsi="Times New Roman"/>
          <w:sz w:val="24"/>
          <w:szCs w:val="24"/>
          <w:shd w:val="clear" w:color="auto" w:fill="FFFFFF"/>
        </w:rPr>
        <w:t>-Grappe,</w:t>
      </w:r>
      <w:r>
        <w:rPr>
          <w:rStyle w:val="Aucun"/>
          <w:rFonts w:ascii="Times New Roman" w:hAnsi="Times New Roman"/>
          <w:sz w:val="24"/>
          <w:szCs w:val="24"/>
        </w:rPr>
        <w:t xml:space="preserve"> </w:t>
      </w:r>
      <w:r>
        <w:rPr>
          <w:rStyle w:val="Aucun"/>
          <w:rFonts w:ascii="Times New Roman" w:hAnsi="Times New Roman"/>
          <w:i/>
          <w:iCs/>
          <w:sz w:val="24"/>
          <w:szCs w:val="24"/>
        </w:rPr>
        <w:t>« les viols sont liés à une effraction destructrice, productrice de plus ou moins de souffrance, et la cruauté ajoute une intention de faire souffrir plus encore, et ce « plus » ajoute un coefficient de souillure, d’avilissement à la franche douleur</w:t>
      </w:r>
      <w:r>
        <w:rPr>
          <w:rStyle w:val="Aucun"/>
          <w:rFonts w:ascii="Times New Roman" w:hAnsi="Times New Roman"/>
          <w:sz w:val="24"/>
          <w:szCs w:val="24"/>
          <w:vertAlign w:val="superscript"/>
        </w:rPr>
        <w:t> </w:t>
      </w:r>
      <w:r>
        <w:rPr>
          <w:rStyle w:val="Aucun"/>
          <w:rFonts w:ascii="Times New Roman" w:hAnsi="Times New Roman"/>
          <w:sz w:val="24"/>
          <w:szCs w:val="24"/>
        </w:rPr>
        <w:t>»</w:t>
      </w:r>
      <w:r>
        <w:rPr>
          <w:rStyle w:val="Aucun"/>
          <w:rFonts w:ascii="Times New Roman" w:eastAsia="Times New Roman" w:hAnsi="Times New Roman" w:cs="Times New Roman"/>
          <w:sz w:val="24"/>
          <w:szCs w:val="24"/>
          <w:vertAlign w:val="superscript"/>
        </w:rPr>
        <w:footnoteReference w:id="12"/>
      </w:r>
      <w:r>
        <w:rPr>
          <w:rStyle w:val="Aucun"/>
          <w:rFonts w:ascii="Times New Roman" w:hAnsi="Times New Roman"/>
          <w:sz w:val="24"/>
          <w:szCs w:val="24"/>
        </w:rPr>
        <w:t xml:space="preserve">.  </w:t>
      </w:r>
    </w:p>
    <w:p w14:paraId="700B0DFE" w14:textId="77777777" w:rsidR="00F25018" w:rsidRDefault="00F25018">
      <w:pPr>
        <w:pStyle w:val="CorpsA"/>
        <w:spacing w:after="160" w:line="360" w:lineRule="auto"/>
        <w:jc w:val="both"/>
      </w:pPr>
    </w:p>
    <w:sectPr w:rsidR="00F25018">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23F5" w14:textId="77777777" w:rsidR="00F2027F" w:rsidRDefault="00F2027F">
      <w:r>
        <w:separator/>
      </w:r>
    </w:p>
  </w:endnote>
  <w:endnote w:type="continuationSeparator" w:id="0">
    <w:p w14:paraId="13857EA7" w14:textId="77777777" w:rsidR="00F2027F" w:rsidRDefault="00F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4A1" w14:textId="77777777" w:rsidR="00F25018" w:rsidRDefault="00F2501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8581" w14:textId="77777777" w:rsidR="00F2027F" w:rsidRDefault="00F2027F">
      <w:r>
        <w:separator/>
      </w:r>
    </w:p>
  </w:footnote>
  <w:footnote w:type="continuationSeparator" w:id="0">
    <w:p w14:paraId="4C9E773B" w14:textId="77777777" w:rsidR="00F2027F" w:rsidRDefault="00F2027F">
      <w:r>
        <w:continuationSeparator/>
      </w:r>
    </w:p>
  </w:footnote>
  <w:footnote w:type="continuationNotice" w:id="1">
    <w:p w14:paraId="185CF86D" w14:textId="77777777" w:rsidR="00F2027F" w:rsidRDefault="00F2027F"/>
  </w:footnote>
  <w:footnote w:id="2">
    <w:p w14:paraId="4018BE83"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sidRPr="005C4433">
        <w:rPr>
          <w:rStyle w:val="Aucun"/>
          <w:rFonts w:ascii="Times New Roman" w:hAnsi="Times New Roman"/>
          <w:sz w:val="20"/>
          <w:szCs w:val="20"/>
        </w:rPr>
        <w:t xml:space="preserve"> ONU cit</w:t>
      </w:r>
      <w:r>
        <w:rPr>
          <w:rStyle w:val="Aucun"/>
          <w:rFonts w:ascii="Times New Roman" w:hAnsi="Times New Roman"/>
          <w:sz w:val="20"/>
          <w:szCs w:val="20"/>
        </w:rPr>
        <w:t xml:space="preserve">é par Craig J., (21 avril 2021). </w:t>
      </w:r>
      <w:proofErr w:type="spellStart"/>
      <w:r>
        <w:rPr>
          <w:rStyle w:val="Aucun"/>
          <w:rFonts w:ascii="Times New Roman" w:hAnsi="Times New Roman"/>
          <w:sz w:val="20"/>
          <w:szCs w:val="20"/>
        </w:rPr>
        <w:t>Sexual</w:t>
      </w:r>
      <w:proofErr w:type="spellEnd"/>
      <w:r>
        <w:rPr>
          <w:rStyle w:val="Aucun"/>
          <w:rFonts w:ascii="Times New Roman" w:hAnsi="Times New Roman"/>
          <w:sz w:val="20"/>
          <w:szCs w:val="20"/>
        </w:rPr>
        <w:t xml:space="preserve"> violence pervasive in </w:t>
      </w:r>
      <w:proofErr w:type="spellStart"/>
      <w:r>
        <w:rPr>
          <w:rStyle w:val="Aucun"/>
          <w:rFonts w:ascii="Times New Roman" w:hAnsi="Times New Roman"/>
          <w:sz w:val="20"/>
          <w:szCs w:val="20"/>
        </w:rPr>
        <w:t>Cameroon’</w:t>
      </w:r>
      <w:r w:rsidRPr="005C4433">
        <w:rPr>
          <w:rStyle w:val="Aucun"/>
          <w:rFonts w:ascii="Times New Roman" w:hAnsi="Times New Roman"/>
          <w:sz w:val="20"/>
          <w:szCs w:val="20"/>
        </w:rPr>
        <w:t>s</w:t>
      </w:r>
      <w:proofErr w:type="spellEnd"/>
      <w:r w:rsidRPr="005C4433">
        <w:rPr>
          <w:rStyle w:val="Aucun"/>
          <w:rFonts w:ascii="Times New Roman" w:hAnsi="Times New Roman"/>
          <w:sz w:val="20"/>
          <w:szCs w:val="20"/>
        </w:rPr>
        <w:t xml:space="preserve"> Anglophone regions. </w:t>
      </w:r>
      <w:r w:rsidRPr="005C4433">
        <w:rPr>
          <w:rStyle w:val="Aucun"/>
          <w:rFonts w:ascii="Times New Roman" w:hAnsi="Times New Roman"/>
          <w:i/>
          <w:iCs/>
          <w:sz w:val="20"/>
          <w:szCs w:val="20"/>
        </w:rPr>
        <w:t>Al Jazeera</w:t>
      </w:r>
      <w:r>
        <w:rPr>
          <w:rStyle w:val="Aucun"/>
          <w:rFonts w:ascii="Times New Roman" w:hAnsi="Times New Roman"/>
          <w:sz w:val="20"/>
          <w:szCs w:val="20"/>
        </w:rPr>
        <w:t xml:space="preserve">. </w:t>
      </w:r>
      <w:hyperlink r:id="rId1" w:history="1">
        <w:r w:rsidRPr="005C4433">
          <w:rPr>
            <w:rStyle w:val="Hyperlink0"/>
            <w:rFonts w:eastAsia="Arial"/>
            <w:lang w:val="fr-FR"/>
          </w:rPr>
          <w:t>https://www.aljazeera.com/news/2021/4/29/gender-based-violence-pervasive-in-cameroons-anglophone-regions</w:t>
        </w:r>
      </w:hyperlink>
      <w:r w:rsidRPr="005C4433">
        <w:rPr>
          <w:rStyle w:val="Aucun"/>
          <w:rFonts w:ascii="Times New Roman" w:hAnsi="Times New Roman"/>
          <w:sz w:val="20"/>
          <w:szCs w:val="20"/>
        </w:rPr>
        <w:t xml:space="preserve"> , consult</w:t>
      </w:r>
      <w:r>
        <w:rPr>
          <w:rStyle w:val="Aucun"/>
          <w:rFonts w:ascii="Times New Roman" w:hAnsi="Times New Roman"/>
          <w:sz w:val="20"/>
          <w:szCs w:val="20"/>
        </w:rPr>
        <w:t xml:space="preserve">é le 27/01/2023. </w:t>
      </w:r>
    </w:p>
  </w:footnote>
  <w:footnote w:id="3">
    <w:p w14:paraId="105188B3"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sidRPr="005C4433">
        <w:rPr>
          <w:rStyle w:val="Aucun"/>
          <w:rFonts w:ascii="Times New Roman" w:hAnsi="Times New Roman"/>
          <w:sz w:val="20"/>
          <w:szCs w:val="20"/>
        </w:rPr>
        <w:t xml:space="preserve"> </w:t>
      </w:r>
      <w:r w:rsidRPr="005C4433">
        <w:rPr>
          <w:rStyle w:val="Aucun"/>
          <w:rFonts w:ascii="Times New Roman" w:hAnsi="Times New Roman"/>
          <w:sz w:val="20"/>
          <w:szCs w:val="20"/>
        </w:rPr>
        <w:t>ONU cit</w:t>
      </w:r>
      <w:r>
        <w:rPr>
          <w:rStyle w:val="Aucun"/>
          <w:rFonts w:ascii="Times New Roman" w:hAnsi="Times New Roman"/>
          <w:sz w:val="20"/>
          <w:szCs w:val="20"/>
        </w:rPr>
        <w:t xml:space="preserve">é </w:t>
      </w:r>
      <w:r w:rsidRPr="005C4433">
        <w:rPr>
          <w:rStyle w:val="Aucun"/>
          <w:rFonts w:ascii="Times New Roman" w:hAnsi="Times New Roman"/>
          <w:sz w:val="20"/>
          <w:szCs w:val="20"/>
        </w:rPr>
        <w:t xml:space="preserve">par Craig J., </w:t>
      </w:r>
      <w:r w:rsidRPr="005C4433">
        <w:rPr>
          <w:rStyle w:val="Aucun"/>
          <w:rFonts w:ascii="Times New Roman" w:hAnsi="Times New Roman"/>
          <w:i/>
          <w:iCs/>
          <w:sz w:val="20"/>
          <w:szCs w:val="20"/>
        </w:rPr>
        <w:t>Ibid.</w:t>
      </w:r>
      <w:r>
        <w:rPr>
          <w:rStyle w:val="Aucun"/>
          <w:rFonts w:ascii="Times New Roman" w:hAnsi="Times New Roman"/>
          <w:sz w:val="18"/>
          <w:szCs w:val="18"/>
        </w:rPr>
        <w:t xml:space="preserve"> </w:t>
      </w:r>
    </w:p>
  </w:footnote>
  <w:footnote w:id="4">
    <w:p w14:paraId="22F5FE17" w14:textId="77777777" w:rsidR="00F25018" w:rsidRPr="005C4433" w:rsidRDefault="00000000">
      <w:pPr>
        <w:pStyle w:val="CorpsA"/>
        <w:spacing w:line="240" w:lineRule="auto"/>
        <w:jc w:val="both"/>
        <w:rPr>
          <w:lang w:val="en-US"/>
        </w:rPr>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lang w:val="en-US"/>
        </w:rPr>
        <w:t xml:space="preserve"> </w:t>
      </w:r>
      <w:proofErr w:type="spellStart"/>
      <w:r>
        <w:rPr>
          <w:rStyle w:val="Aucun"/>
          <w:rFonts w:ascii="Times New Roman" w:hAnsi="Times New Roman"/>
          <w:sz w:val="20"/>
          <w:szCs w:val="20"/>
          <w:lang w:val="en-US"/>
        </w:rPr>
        <w:t>Kindzeka</w:t>
      </w:r>
      <w:proofErr w:type="spellEnd"/>
      <w:r>
        <w:rPr>
          <w:rStyle w:val="Aucun"/>
          <w:rFonts w:ascii="Times New Roman" w:hAnsi="Times New Roman"/>
          <w:sz w:val="20"/>
          <w:szCs w:val="20"/>
          <w:lang w:val="en-US"/>
        </w:rPr>
        <w:t xml:space="preserve"> </w:t>
      </w:r>
      <w:proofErr w:type="spellStart"/>
      <w:r>
        <w:rPr>
          <w:rStyle w:val="Aucun"/>
          <w:rFonts w:ascii="Times New Roman" w:hAnsi="Times New Roman"/>
          <w:sz w:val="20"/>
          <w:szCs w:val="20"/>
          <w:lang w:val="en-US"/>
        </w:rPr>
        <w:t>Moki</w:t>
      </w:r>
      <w:proofErr w:type="spellEnd"/>
      <w:r>
        <w:rPr>
          <w:rStyle w:val="Aucun"/>
          <w:rFonts w:ascii="Times New Roman" w:hAnsi="Times New Roman"/>
          <w:sz w:val="20"/>
          <w:szCs w:val="20"/>
          <w:lang w:val="en-US"/>
        </w:rPr>
        <w:t xml:space="preserve"> E., (February 2019). Study : Abortions from Rapes on Rise in Cameroon’s Conflict Zones. </w:t>
      </w:r>
      <w:r>
        <w:rPr>
          <w:rStyle w:val="Aucun"/>
          <w:rFonts w:ascii="Times New Roman" w:hAnsi="Times New Roman"/>
          <w:i/>
          <w:iCs/>
          <w:sz w:val="20"/>
          <w:szCs w:val="20"/>
          <w:lang w:val="en-US"/>
        </w:rPr>
        <w:t>Voice of America (VOA)</w:t>
      </w:r>
      <w:r>
        <w:rPr>
          <w:rStyle w:val="Aucun"/>
          <w:rFonts w:ascii="Times New Roman" w:hAnsi="Times New Roman"/>
          <w:sz w:val="20"/>
          <w:szCs w:val="20"/>
          <w:lang w:val="en-US"/>
        </w:rPr>
        <w:t xml:space="preserve">. </w:t>
      </w:r>
      <w:hyperlink r:id="rId2" w:history="1">
        <w:r>
          <w:rPr>
            <w:rStyle w:val="Hyperlink0"/>
            <w:rFonts w:eastAsia="Arial"/>
          </w:rPr>
          <w:t>https://www.voanews.com/a/study-abortions-rapes-increasing-cameroon-conflict-zones/4796973.html</w:t>
        </w:r>
      </w:hyperlink>
      <w:r>
        <w:rPr>
          <w:rStyle w:val="Aucun"/>
          <w:rFonts w:ascii="Times New Roman" w:hAnsi="Times New Roman"/>
          <w:sz w:val="20"/>
          <w:szCs w:val="20"/>
          <w:lang w:val="en-US"/>
        </w:rPr>
        <w:t xml:space="preserve"> </w:t>
      </w:r>
      <w:proofErr w:type="spellStart"/>
      <w:r>
        <w:rPr>
          <w:rStyle w:val="Aucun"/>
          <w:rFonts w:ascii="Times New Roman" w:hAnsi="Times New Roman"/>
          <w:sz w:val="20"/>
          <w:szCs w:val="20"/>
          <w:lang w:val="en-US"/>
        </w:rPr>
        <w:t>consulté</w:t>
      </w:r>
      <w:proofErr w:type="spellEnd"/>
      <w:r>
        <w:rPr>
          <w:rStyle w:val="Aucun"/>
          <w:rFonts w:ascii="Times New Roman" w:hAnsi="Times New Roman"/>
          <w:sz w:val="20"/>
          <w:szCs w:val="20"/>
          <w:lang w:val="en-US"/>
        </w:rPr>
        <w:t xml:space="preserve"> le 27/01/2023.</w:t>
      </w:r>
    </w:p>
  </w:footnote>
  <w:footnote w:id="5">
    <w:p w14:paraId="522181A2"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lang w:val="en-US"/>
        </w:rPr>
        <w:t xml:space="preserve">  </w:t>
      </w:r>
      <w:r>
        <w:rPr>
          <w:rStyle w:val="Aucun"/>
          <w:rFonts w:ascii="Times New Roman" w:hAnsi="Times New Roman"/>
          <w:color w:val="242021"/>
          <w:sz w:val="20"/>
          <w:szCs w:val="20"/>
          <w:u w:color="242021"/>
          <w:lang w:val="en-US"/>
        </w:rPr>
        <w:t xml:space="preserve">Human Rights Watch, (26 </w:t>
      </w:r>
      <w:proofErr w:type="spellStart"/>
      <w:r>
        <w:rPr>
          <w:rStyle w:val="Aucun"/>
          <w:rFonts w:ascii="Times New Roman" w:hAnsi="Times New Roman"/>
          <w:color w:val="242021"/>
          <w:sz w:val="20"/>
          <w:szCs w:val="20"/>
          <w:u w:color="242021"/>
          <w:lang w:val="en-US"/>
        </w:rPr>
        <w:t>février</w:t>
      </w:r>
      <w:proofErr w:type="spellEnd"/>
      <w:r>
        <w:rPr>
          <w:rStyle w:val="Aucun"/>
          <w:rFonts w:ascii="Times New Roman" w:hAnsi="Times New Roman"/>
          <w:color w:val="242021"/>
          <w:sz w:val="20"/>
          <w:szCs w:val="20"/>
          <w:u w:color="242021"/>
          <w:lang w:val="en-US"/>
        </w:rPr>
        <w:t xml:space="preserve"> 2021).</w:t>
      </w:r>
      <w:r>
        <w:rPr>
          <w:rStyle w:val="Aucun"/>
          <w:rFonts w:ascii="Times New Roman" w:hAnsi="Times New Roman"/>
          <w:sz w:val="20"/>
          <w:szCs w:val="20"/>
          <w:lang w:val="en-US"/>
        </w:rPr>
        <w:t> </w:t>
      </w:r>
      <w:r>
        <w:rPr>
          <w:rStyle w:val="Aucun"/>
          <w:rFonts w:ascii="Times New Roman" w:hAnsi="Times New Roman"/>
          <w:color w:val="242021"/>
          <w:sz w:val="20"/>
          <w:szCs w:val="20"/>
          <w:u w:color="242021"/>
          <w:lang w:val="en-US"/>
        </w:rPr>
        <w:t xml:space="preserve">Cameroon : Survivors of Military Assault Await Justice. </w:t>
      </w:r>
      <w:hyperlink r:id="rId3" w:history="1">
        <w:r w:rsidRPr="005C4433">
          <w:rPr>
            <w:rStyle w:val="Hyperlink0"/>
            <w:rFonts w:eastAsia="Arial"/>
            <w:lang w:val="fr-FR"/>
          </w:rPr>
          <w:t>https://www.hrw.org/news/2021/02/26/cameroon-survivors-military-assault-await-justice</w:t>
        </w:r>
      </w:hyperlink>
      <w:r w:rsidRPr="005C4433">
        <w:rPr>
          <w:rStyle w:val="Aucun"/>
          <w:rFonts w:ascii="Times New Roman" w:hAnsi="Times New Roman"/>
          <w:color w:val="242021"/>
          <w:sz w:val="20"/>
          <w:szCs w:val="20"/>
          <w:u w:color="242021"/>
        </w:rPr>
        <w:t xml:space="preserve"> , consult</w:t>
      </w:r>
      <w:r>
        <w:rPr>
          <w:rStyle w:val="Aucun"/>
          <w:rFonts w:ascii="Times New Roman" w:hAnsi="Times New Roman"/>
          <w:color w:val="242021"/>
          <w:sz w:val="20"/>
          <w:szCs w:val="20"/>
          <w:u w:color="242021"/>
        </w:rPr>
        <w:t xml:space="preserve">é le 27/03/2023. </w:t>
      </w:r>
    </w:p>
  </w:footnote>
  <w:footnote w:id="6">
    <w:p w14:paraId="6A77166A" w14:textId="77777777" w:rsidR="00F25018" w:rsidRPr="005C4433" w:rsidRDefault="00000000">
      <w:pPr>
        <w:pStyle w:val="CorpsA"/>
        <w:spacing w:line="240" w:lineRule="auto"/>
        <w:jc w:val="both"/>
        <w:rPr>
          <w:lang w:val="en-US"/>
        </w:rPr>
      </w:pPr>
      <w:r>
        <w:rPr>
          <w:rStyle w:val="Aucun"/>
          <w:rFonts w:ascii="Times New Roman" w:eastAsia="Times New Roman" w:hAnsi="Times New Roman" w:cs="Times New Roman"/>
          <w:i/>
          <w:iCs/>
          <w:sz w:val="24"/>
          <w:szCs w:val="24"/>
          <w:vertAlign w:val="superscript"/>
        </w:rPr>
        <w:footnoteRef/>
      </w:r>
      <w:r>
        <w:rPr>
          <w:rStyle w:val="Aucun"/>
          <w:rFonts w:ascii="Calibri" w:hAnsi="Calibri"/>
          <w:sz w:val="20"/>
          <w:szCs w:val="20"/>
          <w:lang w:val="en-US"/>
        </w:rPr>
        <w:t xml:space="preserve"> </w:t>
      </w:r>
      <w:r>
        <w:rPr>
          <w:rStyle w:val="Aucun"/>
          <w:rFonts w:ascii="Times New Roman" w:hAnsi="Times New Roman"/>
          <w:i/>
          <w:iCs/>
          <w:color w:val="242021"/>
          <w:sz w:val="20"/>
          <w:szCs w:val="20"/>
          <w:u w:color="242021"/>
          <w:lang w:val="en-US"/>
        </w:rPr>
        <w:t>Ibid</w:t>
      </w:r>
      <w:r>
        <w:rPr>
          <w:rStyle w:val="Aucun"/>
          <w:rFonts w:ascii="Times New Roman" w:hAnsi="Times New Roman"/>
          <w:color w:val="242021"/>
          <w:sz w:val="20"/>
          <w:szCs w:val="20"/>
          <w:u w:color="242021"/>
          <w:lang w:val="en-US"/>
        </w:rPr>
        <w:t xml:space="preserve">. </w:t>
      </w:r>
    </w:p>
  </w:footnote>
  <w:footnote w:id="7">
    <w:p w14:paraId="75A3D64B" w14:textId="77777777" w:rsidR="00F25018" w:rsidRPr="005C4433" w:rsidRDefault="00000000">
      <w:pPr>
        <w:pStyle w:val="CorpsA"/>
        <w:spacing w:line="240" w:lineRule="auto"/>
        <w:jc w:val="both"/>
        <w:rPr>
          <w:lang w:val="en-US"/>
        </w:rPr>
      </w:pPr>
      <w:r>
        <w:rPr>
          <w:rStyle w:val="Aucun"/>
          <w:rFonts w:ascii="Times New Roman" w:eastAsia="Times New Roman" w:hAnsi="Times New Roman" w:cs="Times New Roman"/>
          <w:i/>
          <w:iCs/>
          <w:sz w:val="24"/>
          <w:szCs w:val="24"/>
          <w:vertAlign w:val="superscript"/>
        </w:rPr>
        <w:footnoteRef/>
      </w:r>
      <w:r>
        <w:rPr>
          <w:rStyle w:val="Aucun"/>
          <w:rFonts w:ascii="Calibri" w:hAnsi="Calibri"/>
          <w:sz w:val="20"/>
          <w:szCs w:val="20"/>
          <w:lang w:val="en-US"/>
        </w:rPr>
        <w:t xml:space="preserve"> </w:t>
      </w:r>
      <w:r>
        <w:rPr>
          <w:rStyle w:val="Aucun"/>
          <w:rFonts w:ascii="Times New Roman" w:hAnsi="Times New Roman"/>
          <w:i/>
          <w:iCs/>
          <w:color w:val="242021"/>
          <w:sz w:val="20"/>
          <w:szCs w:val="20"/>
          <w:u w:color="242021"/>
          <w:lang w:val="en-US"/>
        </w:rPr>
        <w:t>Ibidem</w:t>
      </w:r>
      <w:r>
        <w:rPr>
          <w:rStyle w:val="Aucun"/>
          <w:rFonts w:ascii="Times New Roman" w:hAnsi="Times New Roman"/>
          <w:color w:val="242021"/>
          <w:sz w:val="20"/>
          <w:szCs w:val="20"/>
          <w:u w:color="242021"/>
          <w:lang w:val="en-US"/>
        </w:rPr>
        <w:t>.</w:t>
      </w:r>
    </w:p>
  </w:footnote>
  <w:footnote w:id="8">
    <w:p w14:paraId="2960E9C4"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18"/>
          <w:szCs w:val="18"/>
          <w:lang w:val="en-US"/>
        </w:rPr>
        <w:t xml:space="preserve"> International Crisis Group, (23 </w:t>
      </w:r>
      <w:proofErr w:type="spellStart"/>
      <w:r>
        <w:rPr>
          <w:rStyle w:val="Aucun"/>
          <w:rFonts w:ascii="Times New Roman" w:hAnsi="Times New Roman"/>
          <w:sz w:val="18"/>
          <w:szCs w:val="18"/>
          <w:lang w:val="en-US"/>
        </w:rPr>
        <w:t>février</w:t>
      </w:r>
      <w:proofErr w:type="spellEnd"/>
      <w:r>
        <w:rPr>
          <w:rStyle w:val="Aucun"/>
          <w:rFonts w:ascii="Times New Roman" w:hAnsi="Times New Roman"/>
          <w:sz w:val="18"/>
          <w:szCs w:val="18"/>
          <w:lang w:val="en-US"/>
        </w:rPr>
        <w:t xml:space="preserve"> 2022). </w:t>
      </w:r>
      <w:r>
        <w:rPr>
          <w:rStyle w:val="Aucun"/>
          <w:rFonts w:ascii="Times New Roman" w:hAnsi="Times New Roman"/>
          <w:sz w:val="18"/>
          <w:szCs w:val="18"/>
        </w:rPr>
        <w:t xml:space="preserve">Militantes, victimes, œuvrant pour la paix : les femmes dans le conflit anglophone au Cameroun. </w:t>
      </w:r>
      <w:r>
        <w:rPr>
          <w:rStyle w:val="Aucun"/>
          <w:rFonts w:ascii="Times New Roman" w:hAnsi="Times New Roman"/>
          <w:i/>
          <w:iCs/>
          <w:sz w:val="18"/>
          <w:szCs w:val="18"/>
        </w:rPr>
        <w:t>Rapport Afrique</w:t>
      </w:r>
      <w:r w:rsidRPr="005C4433">
        <w:rPr>
          <w:rStyle w:val="Aucun"/>
          <w:rFonts w:ascii="Times New Roman" w:hAnsi="Times New Roman"/>
          <w:sz w:val="18"/>
          <w:szCs w:val="18"/>
        </w:rPr>
        <w:t>, N</w:t>
      </w:r>
      <w:r>
        <w:rPr>
          <w:rStyle w:val="Aucun"/>
          <w:rFonts w:ascii="Times New Roman" w:hAnsi="Times New Roman"/>
          <w:sz w:val="18"/>
          <w:szCs w:val="18"/>
        </w:rPr>
        <w:t xml:space="preserve">°307, p.27.  </w:t>
      </w:r>
    </w:p>
  </w:footnote>
  <w:footnote w:id="9">
    <w:p w14:paraId="05F4DB0D"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rPr>
        <w:t xml:space="preserve"> Stand Up </w:t>
      </w:r>
      <w:proofErr w:type="spellStart"/>
      <w:r>
        <w:rPr>
          <w:rStyle w:val="Aucun"/>
          <w:rFonts w:ascii="Times New Roman" w:hAnsi="Times New Roman"/>
          <w:sz w:val="20"/>
          <w:szCs w:val="20"/>
        </w:rPr>
        <w:t>Cameroon</w:t>
      </w:r>
      <w:proofErr w:type="spellEnd"/>
      <w:r>
        <w:rPr>
          <w:rStyle w:val="Aucun"/>
          <w:rFonts w:ascii="Times New Roman" w:hAnsi="Times New Roman"/>
          <w:sz w:val="20"/>
          <w:szCs w:val="20"/>
        </w:rPr>
        <w:t xml:space="preserve">, (janvier 2021). Cameroun : Rapport sur les droits humains. p.34. </w:t>
      </w:r>
    </w:p>
  </w:footnote>
  <w:footnote w:id="10">
    <w:p w14:paraId="1D8422D8"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rPr>
        <w:t xml:space="preserve">  </w:t>
      </w:r>
      <w:proofErr w:type="spellStart"/>
      <w:r>
        <w:rPr>
          <w:rStyle w:val="Aucun"/>
          <w:rFonts w:ascii="Times New Roman" w:hAnsi="Times New Roman"/>
          <w:sz w:val="20"/>
          <w:szCs w:val="20"/>
        </w:rPr>
        <w:t>Roucayrol</w:t>
      </w:r>
      <w:proofErr w:type="spellEnd"/>
      <w:r>
        <w:rPr>
          <w:rStyle w:val="Aucun"/>
          <w:rFonts w:ascii="Times New Roman" w:hAnsi="Times New Roman"/>
          <w:sz w:val="20"/>
          <w:szCs w:val="20"/>
        </w:rPr>
        <w:t xml:space="preserve">, A.-M., (2020). Du viol comme arme de guerre. </w:t>
      </w:r>
      <w:r>
        <w:rPr>
          <w:rStyle w:val="Aucun"/>
          <w:rFonts w:ascii="Times New Roman" w:hAnsi="Times New Roman"/>
          <w:i/>
          <w:iCs/>
          <w:sz w:val="20"/>
          <w:szCs w:val="20"/>
        </w:rPr>
        <w:t>Fondation Gabriel Péri</w:t>
      </w:r>
      <w:r>
        <w:rPr>
          <w:rStyle w:val="Aucun"/>
          <w:rFonts w:ascii="Times New Roman" w:hAnsi="Times New Roman"/>
          <w:sz w:val="20"/>
          <w:szCs w:val="20"/>
        </w:rPr>
        <w:t xml:space="preserve">, 4, (404), p.83. </w:t>
      </w:r>
    </w:p>
  </w:footnote>
  <w:footnote w:id="11">
    <w:p w14:paraId="713976E2"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rPr>
        <w:t xml:space="preserve"> </w:t>
      </w:r>
      <w:r w:rsidRPr="005C4433">
        <w:rPr>
          <w:rStyle w:val="Aucun"/>
          <w:rFonts w:ascii="Times New Roman" w:hAnsi="Times New Roman"/>
          <w:i/>
          <w:iCs/>
          <w:sz w:val="20"/>
          <w:szCs w:val="20"/>
        </w:rPr>
        <w:t>Ibid.</w:t>
      </w:r>
      <w:r>
        <w:rPr>
          <w:rStyle w:val="Aucun"/>
          <w:rFonts w:ascii="Times New Roman" w:hAnsi="Times New Roman"/>
          <w:sz w:val="20"/>
          <w:szCs w:val="20"/>
        </w:rPr>
        <w:t xml:space="preserve">, p.86. </w:t>
      </w:r>
    </w:p>
  </w:footnote>
  <w:footnote w:id="12">
    <w:p w14:paraId="4492A1B4" w14:textId="77777777" w:rsidR="00F25018" w:rsidRDefault="00000000">
      <w:pPr>
        <w:pStyle w:val="CorpsA"/>
        <w:spacing w:line="240" w:lineRule="auto"/>
        <w:jc w:val="both"/>
      </w:pPr>
      <w:r>
        <w:rPr>
          <w:rStyle w:val="Aucun"/>
          <w:rFonts w:ascii="Times New Roman" w:eastAsia="Times New Roman" w:hAnsi="Times New Roman" w:cs="Times New Roman"/>
          <w:sz w:val="24"/>
          <w:szCs w:val="24"/>
          <w:vertAlign w:val="superscript"/>
        </w:rPr>
        <w:footnoteRef/>
      </w:r>
      <w:r>
        <w:rPr>
          <w:rStyle w:val="Aucun"/>
          <w:rFonts w:ascii="Times New Roman" w:hAnsi="Times New Roman"/>
          <w:sz w:val="20"/>
          <w:szCs w:val="20"/>
        </w:rPr>
        <w:t xml:space="preserve"> </w:t>
      </w:r>
      <w:proofErr w:type="spellStart"/>
      <w:r>
        <w:rPr>
          <w:rStyle w:val="Aucun"/>
          <w:rFonts w:ascii="Times New Roman" w:hAnsi="Times New Roman"/>
          <w:sz w:val="20"/>
          <w:szCs w:val="20"/>
        </w:rPr>
        <w:t>Nahoum</w:t>
      </w:r>
      <w:proofErr w:type="spellEnd"/>
      <w:r>
        <w:rPr>
          <w:rStyle w:val="Aucun"/>
          <w:rFonts w:ascii="Times New Roman" w:hAnsi="Times New Roman"/>
          <w:sz w:val="20"/>
          <w:szCs w:val="20"/>
        </w:rPr>
        <w:t xml:space="preserve">-Grappe V., (2002), Anthropologie de la violence extrême : le crime de profanation. </w:t>
      </w:r>
      <w:r>
        <w:rPr>
          <w:rStyle w:val="Aucun"/>
          <w:rFonts w:ascii="Times New Roman" w:hAnsi="Times New Roman"/>
          <w:i/>
          <w:iCs/>
          <w:sz w:val="20"/>
          <w:szCs w:val="20"/>
        </w:rPr>
        <w:t>Revue internationale des sciences sociales</w:t>
      </w:r>
      <w:r>
        <w:rPr>
          <w:rStyle w:val="Aucun"/>
          <w:rFonts w:ascii="Times New Roman" w:hAnsi="Times New Roman"/>
          <w:sz w:val="20"/>
          <w:szCs w:val="20"/>
        </w:rPr>
        <w:t>, 4, (74), 601-609.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C0CC" w14:textId="77777777" w:rsidR="00F25018" w:rsidRDefault="00F250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77F"/>
    <w:multiLevelType w:val="hybridMultilevel"/>
    <w:tmpl w:val="EAE2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D1B9F"/>
    <w:multiLevelType w:val="hybridMultilevel"/>
    <w:tmpl w:val="7442A288"/>
    <w:lvl w:ilvl="0" w:tplc="249025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136E8E"/>
    <w:multiLevelType w:val="hybridMultilevel"/>
    <w:tmpl w:val="3B0A4334"/>
    <w:styleLink w:val="Puce"/>
    <w:lvl w:ilvl="0" w:tplc="AC74540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B01668">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9C9E04">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A48BE8">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EA8A44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B62450">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1A13C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927816">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841B52">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A2624F6"/>
    <w:multiLevelType w:val="hybridMultilevel"/>
    <w:tmpl w:val="3B0A4334"/>
    <w:numStyleLink w:val="Puce"/>
  </w:abstractNum>
  <w:num w:numId="1" w16cid:durableId="106627892">
    <w:abstractNumId w:val="2"/>
  </w:num>
  <w:num w:numId="2" w16cid:durableId="2126846373">
    <w:abstractNumId w:val="3"/>
  </w:num>
  <w:num w:numId="3" w16cid:durableId="1889418420">
    <w:abstractNumId w:val="0"/>
  </w:num>
  <w:num w:numId="4" w16cid:durableId="127717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18"/>
    <w:rsid w:val="005C4433"/>
    <w:rsid w:val="00CA3F62"/>
    <w:rsid w:val="00F2027F"/>
    <w:rsid w:val="00F250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C462"/>
  <w15:docId w15:val="{CA819F2A-7875-4909-A664-8DFED8A7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numbering" w:customStyle="1" w:styleId="Puce">
    <w:name w:val="Puce"/>
    <w:pPr>
      <w:numPr>
        <w:numId w:val="1"/>
      </w:numPr>
    </w:pPr>
  </w:style>
  <w:style w:type="paragraph" w:customStyle="1" w:styleId="CorpsA">
    <w:name w:val="Corps A"/>
    <w:pPr>
      <w:spacing w:line="276" w:lineRule="auto"/>
    </w:pPr>
    <w:rPr>
      <w:rFonts w:ascii="Arial" w:eastAsia="Arial" w:hAnsi="Arial" w:cs="Arial"/>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Aucun"/>
    <w:rPr>
      <w:rFonts w:ascii="Times New Roman" w:eastAsia="Times New Roman" w:hAnsi="Times New Roman" w:cs="Times New Roman"/>
      <w:outline w:val="0"/>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1/02/26/cameroon-survivors-military-assault-await-justice" TargetMode="External"/><Relationship Id="rId2" Type="http://schemas.openxmlformats.org/officeDocument/2006/relationships/hyperlink" Target="https://www.voanews.com/a/study-abortions-rapes-increasing-cameroon-conflict-zones/4796973.html" TargetMode="External"/><Relationship Id="rId1" Type="http://schemas.openxmlformats.org/officeDocument/2006/relationships/hyperlink" Target="https://www.aljazeera.com/news/2021/4/29/gender-based-violence-pervasive-in-cameroons-anglophone-region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6900</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Apostoly</cp:lastModifiedBy>
  <cp:revision>2</cp:revision>
  <dcterms:created xsi:type="dcterms:W3CDTF">2024-06-24T12:54:00Z</dcterms:created>
  <dcterms:modified xsi:type="dcterms:W3CDTF">2024-06-24T13:00:00Z</dcterms:modified>
</cp:coreProperties>
</file>